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C7" w:rsidRDefault="009952C7">
      <w:pPr>
        <w:pStyle w:val="BodyText"/>
        <w:ind w:firstLine="708"/>
        <w:rPr>
          <w:lang w:val="de-DE" w:eastAsia="en-US"/>
        </w:rPr>
      </w:pPr>
      <w:r>
        <w:rPr>
          <w:lang w:val="de-DE" w:eastAsia="en-US"/>
        </w:rPr>
        <w:t>Na temelju članka 7. stavka 2. Zakona o financiranju političkih aktivnosti i izborne promidžbe (“Narodne novine” broj 24/11, 61/11, 27/13 i 02/14) te članka 36. Statuta Općine Vuka (“Službeni glasnik Općine Vuka” broj 01/14), Općinsko vijeće Općine Vuka na svojoj 22. sjednici održanoj dana 28. prosinca 2015. godine donosi</w:t>
      </w:r>
    </w:p>
    <w:p w:rsidR="009952C7" w:rsidRDefault="009952C7">
      <w:pPr>
        <w:pStyle w:val="Standard"/>
        <w:jc w:val="both"/>
        <w:rPr>
          <w:b/>
          <w:bCs/>
          <w:color w:val="000000"/>
          <w:lang w:val="de-DE"/>
        </w:rPr>
      </w:pPr>
    </w:p>
    <w:p w:rsidR="009952C7" w:rsidRDefault="009952C7">
      <w:pPr>
        <w:pStyle w:val="Standard"/>
        <w:jc w:val="center"/>
        <w:rPr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 xml:space="preserve">Odluku o raspoređivanju sredstava za redovito financiranje političkih stranaka i nezavisnih članova zastupljenih u Općinskom vijeću </w:t>
      </w:r>
    </w:p>
    <w:p w:rsidR="009952C7" w:rsidRDefault="009952C7">
      <w:pPr>
        <w:pStyle w:val="Standard"/>
        <w:jc w:val="center"/>
        <w:rPr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Općine Vuka za 2016. godinu</w:t>
      </w:r>
    </w:p>
    <w:p w:rsidR="009952C7" w:rsidRDefault="009952C7">
      <w:pPr>
        <w:pStyle w:val="Standard"/>
        <w:jc w:val="both"/>
        <w:rPr>
          <w:b/>
          <w:bCs/>
          <w:color w:val="000000"/>
          <w:lang w:val="de-DE"/>
        </w:rPr>
      </w:pPr>
    </w:p>
    <w:p w:rsidR="009952C7" w:rsidRDefault="009952C7">
      <w:pPr>
        <w:jc w:val="center"/>
        <w:rPr>
          <w:lang w:val="de-DE" w:eastAsia="hr-HR"/>
        </w:rPr>
      </w:pPr>
      <w:r>
        <w:rPr>
          <w:lang w:val="de-DE" w:eastAsia="hr-HR"/>
        </w:rPr>
        <w:t>Članak 1.</w:t>
      </w:r>
    </w:p>
    <w:p w:rsidR="009952C7" w:rsidRDefault="009952C7">
      <w:pPr>
        <w:jc w:val="center"/>
        <w:rPr>
          <w:lang w:val="de-DE" w:eastAsia="hr-HR"/>
        </w:rPr>
      </w:pPr>
    </w:p>
    <w:p w:rsidR="009952C7" w:rsidRDefault="009952C7">
      <w:pPr>
        <w:ind w:firstLine="708"/>
        <w:jc w:val="both"/>
        <w:rPr>
          <w:lang w:val="de-DE" w:eastAsia="hr-HR"/>
        </w:rPr>
      </w:pPr>
      <w:r>
        <w:rPr>
          <w:lang w:val="de-DE" w:eastAsia="hr-HR"/>
        </w:rPr>
        <w:t>Ovom  se Odlukom utvrđuje raspored sredstava za redovito godišnje financiranje političkih stranaka i nezavisnih članova u Općinskom vijeću Općine Vuka (dalje u tekstu: Općinsko vijeće) iz proračuna Općine Vuka za 2016. godinu.</w:t>
      </w:r>
    </w:p>
    <w:p w:rsidR="009952C7" w:rsidRDefault="009952C7">
      <w:pPr>
        <w:jc w:val="both"/>
        <w:rPr>
          <w:lang w:val="de-DE" w:eastAsia="hr-HR"/>
        </w:rPr>
      </w:pPr>
    </w:p>
    <w:p w:rsidR="009952C7" w:rsidRDefault="009952C7">
      <w:pPr>
        <w:jc w:val="center"/>
        <w:rPr>
          <w:lang w:val="de-DE" w:eastAsia="hr-HR"/>
        </w:rPr>
      </w:pPr>
      <w:r>
        <w:rPr>
          <w:lang w:val="de-DE" w:eastAsia="hr-HR"/>
        </w:rPr>
        <w:t>Članak 2.</w:t>
      </w:r>
    </w:p>
    <w:p w:rsidR="009952C7" w:rsidRDefault="009952C7">
      <w:pPr>
        <w:jc w:val="center"/>
        <w:rPr>
          <w:lang w:val="de-DE" w:eastAsia="hr-HR"/>
        </w:rPr>
      </w:pPr>
    </w:p>
    <w:p w:rsidR="009952C7" w:rsidRDefault="009952C7">
      <w:pPr>
        <w:ind w:firstLine="708"/>
        <w:jc w:val="both"/>
        <w:rPr>
          <w:lang w:val="de-DE" w:eastAsia="hr-HR"/>
        </w:rPr>
      </w:pPr>
      <w:r>
        <w:rPr>
          <w:lang w:val="de-DE" w:eastAsia="hr-HR"/>
        </w:rPr>
        <w:t>Utvrđuje se da su u Proračunu Općine Vuka za 2016. godinu osigurana sredstva za financiranje političkih stranaka i nezavisnih članova u Općinskom vijeću u iznosu od 5.500,00</w:t>
      </w:r>
      <w:r>
        <w:rPr>
          <w:color w:val="FF0000"/>
          <w:lang w:val="de-DE" w:eastAsia="hr-HR"/>
        </w:rPr>
        <w:t xml:space="preserve"> </w:t>
      </w:r>
      <w:r>
        <w:rPr>
          <w:lang w:val="de-DE" w:eastAsia="hr-HR"/>
        </w:rPr>
        <w:t>kn.</w:t>
      </w:r>
    </w:p>
    <w:p w:rsidR="009952C7" w:rsidRDefault="009952C7">
      <w:pPr>
        <w:jc w:val="both"/>
        <w:rPr>
          <w:lang w:val="de-DE" w:eastAsia="hr-HR"/>
        </w:rPr>
      </w:pPr>
    </w:p>
    <w:p w:rsidR="009952C7" w:rsidRDefault="009952C7">
      <w:pPr>
        <w:jc w:val="center"/>
        <w:rPr>
          <w:lang w:val="de-DE" w:eastAsia="hr-HR"/>
        </w:rPr>
      </w:pPr>
      <w:r>
        <w:rPr>
          <w:lang w:val="de-DE" w:eastAsia="hr-HR"/>
        </w:rPr>
        <w:t>Članak 3.</w:t>
      </w:r>
    </w:p>
    <w:p w:rsidR="009952C7" w:rsidRDefault="009952C7">
      <w:pPr>
        <w:jc w:val="center"/>
        <w:rPr>
          <w:lang w:val="de-DE" w:eastAsia="hr-HR"/>
        </w:rPr>
      </w:pPr>
    </w:p>
    <w:p w:rsidR="009952C7" w:rsidRDefault="009952C7">
      <w:pPr>
        <w:pStyle w:val="BodyText"/>
        <w:ind w:firstLine="708"/>
        <w:rPr>
          <w:lang w:val="de-DE"/>
        </w:rPr>
      </w:pPr>
      <w:r>
        <w:rPr>
          <w:lang w:val="de-DE"/>
        </w:rPr>
        <w:t xml:space="preserve">Pravo na redovito godišnje financiranje iz </w:t>
      </w:r>
      <w:r>
        <w:rPr>
          <w:lang w:val="hr-HR"/>
        </w:rPr>
        <w:t>Proračuna</w:t>
      </w:r>
      <w:r>
        <w:rPr>
          <w:lang w:val="de-DE"/>
        </w:rPr>
        <w:t xml:space="preserve"> Općine Vuka za 2016. godinu imaju političke stranke i nezavisni koje imaju najmanje jednog vijećnika u Općinskom vijeću.</w:t>
      </w:r>
    </w:p>
    <w:p w:rsidR="009952C7" w:rsidRDefault="009952C7">
      <w:pPr>
        <w:jc w:val="both"/>
        <w:rPr>
          <w:lang w:val="de-DE" w:eastAsia="hr-HR"/>
        </w:rPr>
      </w:pPr>
    </w:p>
    <w:p w:rsidR="009952C7" w:rsidRDefault="009952C7">
      <w:pPr>
        <w:jc w:val="center"/>
        <w:rPr>
          <w:lang w:val="de-DE" w:eastAsia="hr-HR"/>
        </w:rPr>
      </w:pPr>
      <w:r>
        <w:rPr>
          <w:lang w:val="de-DE" w:eastAsia="hr-HR"/>
        </w:rPr>
        <w:t>Članak 4.</w:t>
      </w:r>
    </w:p>
    <w:p w:rsidR="009952C7" w:rsidRDefault="009952C7">
      <w:pPr>
        <w:jc w:val="center"/>
        <w:rPr>
          <w:lang w:val="de-DE" w:eastAsia="hr-HR"/>
        </w:rPr>
      </w:pPr>
    </w:p>
    <w:p w:rsidR="009952C7" w:rsidRDefault="009952C7">
      <w:pPr>
        <w:ind w:firstLine="708"/>
        <w:jc w:val="both"/>
        <w:rPr>
          <w:lang w:val="de-DE" w:eastAsia="hr-HR"/>
        </w:rPr>
      </w:pPr>
      <w:r>
        <w:rPr>
          <w:lang w:val="de-DE" w:eastAsia="hr-HR"/>
        </w:rPr>
        <w:t>Sredstva za financiranje političkih stranaka i nezavisnih članova raspoređuju se na način da se utvrdi jednak iznos sredstava za svakog člana u Općinskom vijeću te da pojedinoj političkoj stranci, odnosno nezavisnima pripadaju sredstva razmjerno broju njihovih članova u trenutku konstituiranja Općinskog vijeća.</w:t>
      </w:r>
    </w:p>
    <w:p w:rsidR="009952C7" w:rsidRDefault="009952C7">
      <w:pPr>
        <w:jc w:val="both"/>
        <w:rPr>
          <w:lang w:val="de-DE" w:eastAsia="hr-HR"/>
        </w:rPr>
      </w:pPr>
    </w:p>
    <w:p w:rsidR="009952C7" w:rsidRDefault="009952C7">
      <w:pPr>
        <w:jc w:val="center"/>
        <w:rPr>
          <w:lang w:val="de-DE" w:eastAsia="hr-HR"/>
        </w:rPr>
      </w:pPr>
      <w:r>
        <w:rPr>
          <w:lang w:val="de-DE" w:eastAsia="hr-HR"/>
        </w:rPr>
        <w:t>Članak 5.</w:t>
      </w:r>
    </w:p>
    <w:p w:rsidR="009952C7" w:rsidRDefault="009952C7">
      <w:pPr>
        <w:jc w:val="center"/>
        <w:rPr>
          <w:lang w:val="de-DE" w:eastAsia="hr-HR"/>
        </w:rPr>
      </w:pPr>
    </w:p>
    <w:p w:rsidR="009952C7" w:rsidRDefault="009952C7">
      <w:pPr>
        <w:ind w:firstLine="708"/>
        <w:jc w:val="both"/>
        <w:rPr>
          <w:lang w:val="de-DE" w:eastAsia="hr-HR"/>
        </w:rPr>
      </w:pPr>
      <w:r>
        <w:rPr>
          <w:lang w:val="de-DE" w:eastAsia="hr-HR"/>
        </w:rPr>
        <w:t xml:space="preserve">Za svakog člana Općinskog vijeća utvrđuju se sredstva u iznosu od 500,00 kuna godišnje. </w:t>
      </w:r>
    </w:p>
    <w:p w:rsidR="009952C7" w:rsidRDefault="009952C7">
      <w:pPr>
        <w:jc w:val="both"/>
        <w:rPr>
          <w:lang w:val="de-DE" w:eastAsia="hr-HR"/>
        </w:rPr>
      </w:pPr>
    </w:p>
    <w:p w:rsidR="009952C7" w:rsidRDefault="009952C7">
      <w:pPr>
        <w:jc w:val="center"/>
        <w:rPr>
          <w:lang w:val="de-DE" w:eastAsia="hr-HR"/>
        </w:rPr>
      </w:pPr>
      <w:r>
        <w:rPr>
          <w:lang w:val="de-DE" w:eastAsia="hr-HR"/>
        </w:rPr>
        <w:t>Članak 6.</w:t>
      </w:r>
    </w:p>
    <w:p w:rsidR="009952C7" w:rsidRDefault="009952C7">
      <w:pPr>
        <w:jc w:val="center"/>
        <w:rPr>
          <w:lang w:val="de-DE" w:eastAsia="hr-HR"/>
        </w:rPr>
      </w:pPr>
    </w:p>
    <w:p w:rsidR="009952C7" w:rsidRDefault="009952C7">
      <w:pPr>
        <w:ind w:firstLine="708"/>
        <w:jc w:val="both"/>
        <w:rPr>
          <w:lang w:val="de-DE" w:eastAsia="hr-HR"/>
        </w:rPr>
      </w:pPr>
      <w:r>
        <w:rPr>
          <w:lang w:val="de-DE" w:eastAsia="hr-HR"/>
        </w:rPr>
        <w:t>Sredstva iz članka 2. i članka 5. ove Odluke raspoređuju se kako slijedi:</w:t>
      </w:r>
    </w:p>
    <w:p w:rsidR="009952C7" w:rsidRDefault="009952C7">
      <w:pPr>
        <w:jc w:val="both"/>
        <w:rPr>
          <w:lang w:val="de-DE" w:eastAsia="hr-HR"/>
        </w:rPr>
      </w:pPr>
      <w:r>
        <w:rPr>
          <w:lang w:val="de-DE" w:eastAsia="hr-HR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4040"/>
        <w:gridCol w:w="1134"/>
        <w:gridCol w:w="1700"/>
      </w:tblGrid>
      <w:tr w:rsidR="009952C7">
        <w:trPr>
          <w:trHeight w:val="610"/>
          <w:jc w:val="center"/>
        </w:trPr>
        <w:tc>
          <w:tcPr>
            <w:tcW w:w="780" w:type="dxa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Redni broj</w:t>
            </w:r>
          </w:p>
        </w:tc>
        <w:tc>
          <w:tcPr>
            <w:tcW w:w="4040" w:type="dxa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Naziv političke stranke</w:t>
            </w:r>
          </w:p>
        </w:tc>
        <w:tc>
          <w:tcPr>
            <w:tcW w:w="1134" w:type="dxa"/>
          </w:tcPr>
          <w:p w:rsidR="009952C7" w:rsidRDefault="009952C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Broj članova</w:t>
            </w:r>
          </w:p>
        </w:tc>
        <w:tc>
          <w:tcPr>
            <w:tcW w:w="1700" w:type="dxa"/>
          </w:tcPr>
          <w:p w:rsidR="009952C7" w:rsidRDefault="009952C7">
            <w:pPr>
              <w:jc w:val="center"/>
              <w:rPr>
                <w:lang w:val="en-GB" w:eastAsia="hr-HR"/>
              </w:rPr>
            </w:pPr>
            <w:r>
              <w:rPr>
                <w:lang w:val="en-GB" w:eastAsia="hr-HR"/>
              </w:rPr>
              <w:t>Raspoređena sredstava</w:t>
            </w:r>
          </w:p>
        </w:tc>
      </w:tr>
      <w:tr w:rsidR="009952C7">
        <w:trPr>
          <w:trHeight w:val="610"/>
          <w:jc w:val="center"/>
        </w:trPr>
        <w:tc>
          <w:tcPr>
            <w:tcW w:w="780" w:type="dxa"/>
            <w:vAlign w:val="center"/>
          </w:tcPr>
          <w:p w:rsidR="009952C7" w:rsidRDefault="009952C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1.</w:t>
            </w:r>
          </w:p>
        </w:tc>
        <w:tc>
          <w:tcPr>
            <w:tcW w:w="4040" w:type="dxa"/>
          </w:tcPr>
          <w:p w:rsidR="009952C7" w:rsidRDefault="009952C7">
            <w:pPr>
              <w:rPr>
                <w:lang w:eastAsia="hr-HR"/>
              </w:rPr>
            </w:pPr>
            <w:r>
              <w:rPr>
                <w:lang w:eastAsia="hr-HR"/>
              </w:rPr>
              <w:t>Hrvatski demokratski savez Slavonije i Baranje - HDSSB</w:t>
            </w:r>
          </w:p>
        </w:tc>
        <w:tc>
          <w:tcPr>
            <w:tcW w:w="1134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5</w:t>
            </w:r>
          </w:p>
        </w:tc>
        <w:tc>
          <w:tcPr>
            <w:tcW w:w="1700" w:type="dxa"/>
            <w:vAlign w:val="center"/>
          </w:tcPr>
          <w:p w:rsidR="009952C7" w:rsidRDefault="009952C7">
            <w:pPr>
              <w:jc w:val="right"/>
              <w:rPr>
                <w:lang w:val="de-DE" w:eastAsia="hr-HR"/>
              </w:rPr>
            </w:pPr>
            <w:r>
              <w:rPr>
                <w:lang w:val="de-DE" w:eastAsia="hr-HR"/>
              </w:rPr>
              <w:t>2.500,00 kn</w:t>
            </w:r>
          </w:p>
        </w:tc>
      </w:tr>
      <w:tr w:rsidR="009952C7">
        <w:trPr>
          <w:trHeight w:val="593"/>
          <w:jc w:val="center"/>
        </w:trPr>
        <w:tc>
          <w:tcPr>
            <w:tcW w:w="780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2.</w:t>
            </w:r>
          </w:p>
        </w:tc>
        <w:tc>
          <w:tcPr>
            <w:tcW w:w="4040" w:type="dxa"/>
          </w:tcPr>
          <w:p w:rsidR="009952C7" w:rsidRDefault="009952C7">
            <w:pPr>
              <w:rPr>
                <w:lang w:val="de-DE" w:eastAsia="hr-HR"/>
              </w:rPr>
            </w:pPr>
            <w:r>
              <w:rPr>
                <w:lang w:val="de-DE" w:eastAsia="hr-HR"/>
              </w:rPr>
              <w:t>Hrvatska demokratska zajednica (HDZ)</w:t>
            </w:r>
          </w:p>
        </w:tc>
        <w:tc>
          <w:tcPr>
            <w:tcW w:w="1134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2</w:t>
            </w:r>
          </w:p>
        </w:tc>
        <w:tc>
          <w:tcPr>
            <w:tcW w:w="1700" w:type="dxa"/>
            <w:vAlign w:val="center"/>
          </w:tcPr>
          <w:p w:rsidR="009952C7" w:rsidRDefault="009952C7">
            <w:pPr>
              <w:jc w:val="right"/>
              <w:rPr>
                <w:lang w:val="de-DE" w:eastAsia="hr-HR"/>
              </w:rPr>
            </w:pPr>
            <w:r>
              <w:rPr>
                <w:lang w:val="de-DE" w:eastAsia="hr-HR"/>
              </w:rPr>
              <w:t>1.000,00 kn</w:t>
            </w:r>
          </w:p>
        </w:tc>
      </w:tr>
      <w:tr w:rsidR="009952C7">
        <w:trPr>
          <w:trHeight w:val="593"/>
          <w:jc w:val="center"/>
        </w:trPr>
        <w:tc>
          <w:tcPr>
            <w:tcW w:w="780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3.</w:t>
            </w:r>
          </w:p>
        </w:tc>
        <w:tc>
          <w:tcPr>
            <w:tcW w:w="4040" w:type="dxa"/>
          </w:tcPr>
          <w:p w:rsidR="009952C7" w:rsidRDefault="009952C7">
            <w:pPr>
              <w:rPr>
                <w:lang w:val="de-DE" w:eastAsia="hr-HR"/>
              </w:rPr>
            </w:pPr>
            <w:r>
              <w:rPr>
                <w:lang w:val="de-DE" w:eastAsia="hr-HR"/>
              </w:rPr>
              <w:t>Kandidacijska lista grupe birača – nositelj Tihomir Vitić</w:t>
            </w:r>
          </w:p>
        </w:tc>
        <w:tc>
          <w:tcPr>
            <w:tcW w:w="1134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2</w:t>
            </w:r>
          </w:p>
        </w:tc>
        <w:tc>
          <w:tcPr>
            <w:tcW w:w="1700" w:type="dxa"/>
            <w:vAlign w:val="center"/>
          </w:tcPr>
          <w:p w:rsidR="009952C7" w:rsidRDefault="009952C7">
            <w:pPr>
              <w:jc w:val="right"/>
              <w:rPr>
                <w:lang w:val="de-DE" w:eastAsia="hr-HR"/>
              </w:rPr>
            </w:pPr>
            <w:r>
              <w:rPr>
                <w:lang w:val="de-DE" w:eastAsia="hr-HR"/>
              </w:rPr>
              <w:t>1.000,00 kn</w:t>
            </w:r>
          </w:p>
        </w:tc>
      </w:tr>
      <w:tr w:rsidR="009952C7">
        <w:trPr>
          <w:trHeight w:val="320"/>
          <w:jc w:val="center"/>
        </w:trPr>
        <w:tc>
          <w:tcPr>
            <w:tcW w:w="780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4.</w:t>
            </w:r>
          </w:p>
        </w:tc>
        <w:tc>
          <w:tcPr>
            <w:tcW w:w="4040" w:type="dxa"/>
            <w:vAlign w:val="center"/>
          </w:tcPr>
          <w:p w:rsidR="009952C7" w:rsidRDefault="009952C7">
            <w:pPr>
              <w:rPr>
                <w:lang w:val="de-DE" w:eastAsia="hr-HR"/>
              </w:rPr>
            </w:pPr>
            <w:r>
              <w:rPr>
                <w:lang w:val="de-DE" w:eastAsia="hr-HR"/>
              </w:rPr>
              <w:t>Hrvatska stranka prava (HSP)</w:t>
            </w:r>
          </w:p>
        </w:tc>
        <w:tc>
          <w:tcPr>
            <w:tcW w:w="1134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1</w:t>
            </w:r>
          </w:p>
        </w:tc>
        <w:tc>
          <w:tcPr>
            <w:tcW w:w="1700" w:type="dxa"/>
            <w:vAlign w:val="center"/>
          </w:tcPr>
          <w:p w:rsidR="009952C7" w:rsidRDefault="009952C7">
            <w:pPr>
              <w:jc w:val="right"/>
              <w:rPr>
                <w:lang w:val="de-DE" w:eastAsia="hr-HR"/>
              </w:rPr>
            </w:pPr>
            <w:r>
              <w:rPr>
                <w:lang w:val="de-DE" w:eastAsia="hr-HR"/>
              </w:rPr>
              <w:t>500,00 kn</w:t>
            </w:r>
          </w:p>
        </w:tc>
      </w:tr>
      <w:tr w:rsidR="009952C7">
        <w:trPr>
          <w:trHeight w:val="344"/>
          <w:jc w:val="center"/>
        </w:trPr>
        <w:tc>
          <w:tcPr>
            <w:tcW w:w="780" w:type="dxa"/>
            <w:vAlign w:val="center"/>
          </w:tcPr>
          <w:p w:rsidR="009952C7" w:rsidRDefault="009952C7">
            <w:pPr>
              <w:jc w:val="center"/>
              <w:rPr>
                <w:lang w:val="de-DE" w:eastAsia="hr-HR"/>
              </w:rPr>
            </w:pPr>
            <w:r>
              <w:rPr>
                <w:lang w:val="de-DE" w:eastAsia="hr-HR"/>
              </w:rPr>
              <w:t>5.</w:t>
            </w:r>
          </w:p>
        </w:tc>
        <w:tc>
          <w:tcPr>
            <w:tcW w:w="4040" w:type="dxa"/>
            <w:vAlign w:val="center"/>
          </w:tcPr>
          <w:p w:rsidR="009952C7" w:rsidRDefault="009952C7">
            <w:pPr>
              <w:rPr>
                <w:lang w:val="de-DE" w:eastAsia="hr-HR"/>
              </w:rPr>
            </w:pPr>
            <w:r>
              <w:rPr>
                <w:lang w:val="de-DE" w:eastAsia="hr-HR"/>
              </w:rPr>
              <w:t>Hrvastka seljačka stranka (HSS)</w:t>
            </w:r>
          </w:p>
        </w:tc>
        <w:tc>
          <w:tcPr>
            <w:tcW w:w="1134" w:type="dxa"/>
            <w:vAlign w:val="center"/>
          </w:tcPr>
          <w:p w:rsidR="009952C7" w:rsidRDefault="009952C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</w:t>
            </w:r>
          </w:p>
        </w:tc>
        <w:tc>
          <w:tcPr>
            <w:tcW w:w="1700" w:type="dxa"/>
            <w:vAlign w:val="center"/>
          </w:tcPr>
          <w:p w:rsidR="009952C7" w:rsidRDefault="009952C7">
            <w:pPr>
              <w:jc w:val="right"/>
              <w:rPr>
                <w:lang w:eastAsia="hr-HR"/>
              </w:rPr>
            </w:pPr>
            <w:r>
              <w:rPr>
                <w:lang w:eastAsia="hr-HR"/>
              </w:rPr>
              <w:t>500,00 kn</w:t>
            </w:r>
          </w:p>
        </w:tc>
      </w:tr>
      <w:tr w:rsidR="009952C7">
        <w:trPr>
          <w:trHeight w:val="548"/>
          <w:jc w:val="center"/>
        </w:trPr>
        <w:tc>
          <w:tcPr>
            <w:tcW w:w="4820" w:type="dxa"/>
            <w:gridSpan w:val="2"/>
          </w:tcPr>
          <w:p w:rsidR="009952C7" w:rsidRDefault="009952C7">
            <w:pPr>
              <w:jc w:val="center"/>
              <w:rPr>
                <w:lang w:eastAsia="hr-HR"/>
              </w:rPr>
            </w:pPr>
          </w:p>
          <w:p w:rsidR="009952C7" w:rsidRDefault="009952C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UKUPNO</w:t>
            </w:r>
          </w:p>
          <w:p w:rsidR="009952C7" w:rsidRDefault="009952C7">
            <w:pPr>
              <w:jc w:val="center"/>
              <w:rPr>
                <w:lang w:eastAsia="hr-HR"/>
              </w:rPr>
            </w:pPr>
          </w:p>
        </w:tc>
        <w:tc>
          <w:tcPr>
            <w:tcW w:w="1134" w:type="dxa"/>
          </w:tcPr>
          <w:p w:rsidR="009952C7" w:rsidRDefault="009952C7">
            <w:pPr>
              <w:jc w:val="center"/>
              <w:rPr>
                <w:lang w:eastAsia="hr-HR"/>
              </w:rPr>
            </w:pPr>
          </w:p>
          <w:p w:rsidR="009952C7" w:rsidRDefault="009952C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11</w:t>
            </w:r>
          </w:p>
        </w:tc>
        <w:tc>
          <w:tcPr>
            <w:tcW w:w="1700" w:type="dxa"/>
          </w:tcPr>
          <w:p w:rsidR="009952C7" w:rsidRDefault="009952C7">
            <w:pPr>
              <w:jc w:val="right"/>
              <w:rPr>
                <w:lang w:eastAsia="hr-HR"/>
              </w:rPr>
            </w:pPr>
          </w:p>
          <w:p w:rsidR="009952C7" w:rsidRDefault="009952C7">
            <w:pPr>
              <w:jc w:val="right"/>
              <w:rPr>
                <w:lang w:eastAsia="hr-HR"/>
              </w:rPr>
            </w:pPr>
            <w:r>
              <w:rPr>
                <w:lang w:eastAsia="hr-HR"/>
              </w:rPr>
              <w:t>5.500,00 kn</w:t>
            </w:r>
          </w:p>
        </w:tc>
      </w:tr>
    </w:tbl>
    <w:p w:rsidR="009952C7" w:rsidRDefault="009952C7">
      <w:pPr>
        <w:jc w:val="center"/>
        <w:rPr>
          <w:lang w:eastAsia="hr-HR"/>
        </w:rPr>
      </w:pPr>
    </w:p>
    <w:p w:rsidR="009952C7" w:rsidRDefault="009952C7">
      <w:pPr>
        <w:jc w:val="center"/>
        <w:rPr>
          <w:lang w:eastAsia="hr-HR"/>
        </w:rPr>
      </w:pPr>
      <w:r>
        <w:rPr>
          <w:lang w:eastAsia="hr-HR"/>
        </w:rPr>
        <w:t>Članak 7.</w:t>
      </w:r>
    </w:p>
    <w:p w:rsidR="009952C7" w:rsidRDefault="009952C7">
      <w:pPr>
        <w:jc w:val="center"/>
        <w:rPr>
          <w:lang w:eastAsia="hr-HR"/>
        </w:rPr>
      </w:pPr>
    </w:p>
    <w:p w:rsidR="009952C7" w:rsidRDefault="009952C7">
      <w:pPr>
        <w:ind w:firstLine="708"/>
        <w:jc w:val="both"/>
        <w:rPr>
          <w:lang w:eastAsia="hr-HR"/>
        </w:rPr>
      </w:pPr>
      <w:r>
        <w:rPr>
          <w:lang w:eastAsia="hr-HR"/>
        </w:rPr>
        <w:t>Sredstva koja su osigurana za redovito financiranje političkih stranaka doznačuju se na žiro račun političke stranke odnosno nezavisnih vjećnika.</w:t>
      </w:r>
    </w:p>
    <w:p w:rsidR="009952C7" w:rsidRDefault="009952C7">
      <w:pPr>
        <w:jc w:val="both"/>
        <w:rPr>
          <w:lang w:eastAsia="hr-HR"/>
        </w:rPr>
      </w:pPr>
    </w:p>
    <w:p w:rsidR="009952C7" w:rsidRDefault="009952C7">
      <w:pPr>
        <w:jc w:val="center"/>
        <w:rPr>
          <w:lang w:eastAsia="hr-HR"/>
        </w:rPr>
      </w:pPr>
      <w:r>
        <w:rPr>
          <w:lang w:eastAsia="hr-HR"/>
        </w:rPr>
        <w:t>Članak 8.</w:t>
      </w:r>
    </w:p>
    <w:p w:rsidR="009952C7" w:rsidRDefault="009952C7">
      <w:pPr>
        <w:jc w:val="center"/>
        <w:rPr>
          <w:lang w:eastAsia="hr-HR"/>
        </w:rPr>
      </w:pPr>
    </w:p>
    <w:p w:rsidR="009952C7" w:rsidRDefault="009952C7">
      <w:pPr>
        <w:ind w:firstLine="708"/>
        <w:jc w:val="both"/>
        <w:rPr>
          <w:lang w:eastAsia="hr-HR"/>
        </w:rPr>
      </w:pPr>
      <w:r>
        <w:rPr>
          <w:lang w:eastAsia="hr-HR"/>
        </w:rPr>
        <w:t>Financijska sredstva iz članka 7. ove Odluke političke stranke mogu koristiti isključivo za ostvarenje ciljeva utvrđenih programom i statutom političke stranke, odnosno programom i godišnjim financijskim planom.</w:t>
      </w:r>
    </w:p>
    <w:p w:rsidR="009952C7" w:rsidRDefault="009952C7">
      <w:pPr>
        <w:jc w:val="both"/>
        <w:rPr>
          <w:lang w:eastAsia="hr-HR"/>
        </w:rPr>
      </w:pPr>
      <w:r>
        <w:rPr>
          <w:lang w:eastAsia="hr-HR"/>
        </w:rPr>
        <w:t>Zabranjeno je trošenje sredstava iz članka 7. ove Odluke za osobne potrebe.</w:t>
      </w:r>
    </w:p>
    <w:p w:rsidR="009952C7" w:rsidRDefault="009952C7">
      <w:pPr>
        <w:jc w:val="both"/>
        <w:rPr>
          <w:lang w:eastAsia="hr-HR"/>
        </w:rPr>
      </w:pPr>
      <w:r>
        <w:rPr>
          <w:lang w:eastAsia="hr-HR"/>
        </w:rPr>
        <w:t> </w:t>
      </w:r>
    </w:p>
    <w:p w:rsidR="009952C7" w:rsidRDefault="009952C7">
      <w:pPr>
        <w:jc w:val="center"/>
        <w:rPr>
          <w:lang w:eastAsia="hr-HR"/>
        </w:rPr>
      </w:pPr>
      <w:r>
        <w:rPr>
          <w:lang w:eastAsia="hr-HR"/>
        </w:rPr>
        <w:t>Članak 9.</w:t>
      </w:r>
    </w:p>
    <w:p w:rsidR="009952C7" w:rsidRDefault="009952C7">
      <w:pPr>
        <w:jc w:val="center"/>
        <w:rPr>
          <w:lang w:eastAsia="hr-HR"/>
        </w:rPr>
      </w:pPr>
    </w:p>
    <w:p w:rsidR="009952C7" w:rsidRDefault="009952C7">
      <w:pPr>
        <w:pStyle w:val="Standard"/>
        <w:ind w:firstLine="708"/>
        <w:jc w:val="both"/>
      </w:pPr>
      <w:r>
        <w:t>Ova Odluka stupa na snagu osmog dana od dana objave u “Službenom glasniku Općine Vuka”, a objavit će se i na web stranicama Općine Vuka (</w:t>
      </w:r>
      <w:hyperlink r:id="rId5" w:history="1">
        <w:r>
          <w:rPr>
            <w:rStyle w:val="Hyperlink"/>
            <w:rFonts w:cstheme="minorBidi"/>
          </w:rPr>
          <w:t>www.opcina-vuka.hr</w:t>
        </w:r>
      </w:hyperlink>
      <w:r>
        <w:t xml:space="preserve">). </w:t>
      </w:r>
      <w:bookmarkStart w:id="0" w:name="_GoBack"/>
      <w:bookmarkEnd w:id="0"/>
    </w:p>
    <w:p w:rsidR="009952C7" w:rsidRDefault="009952C7">
      <w:pPr>
        <w:pStyle w:val="Standard"/>
      </w:pPr>
    </w:p>
    <w:p w:rsidR="009952C7" w:rsidRDefault="009952C7">
      <w:pPr>
        <w:pStyle w:val="Standard"/>
        <w:jc w:val="both"/>
        <w:rPr>
          <w:lang w:val="de-DE"/>
        </w:rPr>
      </w:pPr>
      <w:r>
        <w:rPr>
          <w:lang w:val="de-DE"/>
        </w:rPr>
        <w:t>KLASA: 400-08/15-01/06</w:t>
      </w:r>
    </w:p>
    <w:p w:rsidR="009952C7" w:rsidRDefault="009952C7">
      <w:pPr>
        <w:pStyle w:val="Standard"/>
        <w:jc w:val="both"/>
        <w:rPr>
          <w:lang w:val="de-DE"/>
        </w:rPr>
      </w:pPr>
      <w:r>
        <w:rPr>
          <w:lang w:val="de-DE"/>
        </w:rPr>
        <w:t>URBROJ: 2158/06-01-15-6</w:t>
      </w:r>
    </w:p>
    <w:p w:rsidR="009952C7" w:rsidRDefault="009952C7">
      <w:pPr>
        <w:pStyle w:val="Standard"/>
        <w:rPr>
          <w:lang w:val="en-GB"/>
        </w:rPr>
      </w:pPr>
      <w:r>
        <w:rPr>
          <w:lang w:val="en-GB"/>
        </w:rPr>
        <w:t>Vuka, 28. prosinca 2015. godine</w:t>
      </w:r>
    </w:p>
    <w:p w:rsidR="009952C7" w:rsidRDefault="009952C7">
      <w:pPr>
        <w:pStyle w:val="Standard"/>
        <w:ind w:left="4502"/>
        <w:jc w:val="center"/>
        <w:rPr>
          <w:lang w:val="en-GB"/>
        </w:rPr>
      </w:pPr>
      <w:r>
        <w:rPr>
          <w:lang w:val="en-GB"/>
        </w:rPr>
        <w:t>Predsjednik općinskog vijeća</w:t>
      </w:r>
    </w:p>
    <w:p w:rsidR="009952C7" w:rsidRDefault="009952C7">
      <w:pPr>
        <w:pStyle w:val="Standard"/>
        <w:ind w:left="4502"/>
        <w:jc w:val="center"/>
        <w:rPr>
          <w:lang w:val="en-GB"/>
        </w:rPr>
      </w:pPr>
      <w:r>
        <w:rPr>
          <w:lang w:val="en-GB"/>
        </w:rPr>
        <w:t>Mario Perešin</w:t>
      </w:r>
    </w:p>
    <w:sectPr w:rsidR="009952C7" w:rsidSect="0099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F38"/>
    <w:multiLevelType w:val="hybridMultilevel"/>
    <w:tmpl w:val="E1587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2C7"/>
    <w:rsid w:val="0099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suppressAutoHyphens w:val="0"/>
      <w:autoSpaceDN/>
      <w:outlineLvl w:val="0"/>
    </w:pPr>
    <w:rPr>
      <w:b/>
      <w:bCs/>
      <w:kern w:val="0"/>
      <w:lang w:val="hr-HR" w:eastAsia="hr-HR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autoSpaceDN/>
      <w:spacing w:before="100" w:beforeAutospacing="1" w:after="100" w:afterAutospacing="1"/>
    </w:pPr>
    <w:rPr>
      <w:kern w:val="0"/>
      <w:lang w:val="hr-HR" w:eastAsia="hr-HR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vu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405</Words>
  <Characters>2312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Dorjana</dc:creator>
  <cp:keywords/>
  <dc:description/>
  <cp:lastModifiedBy>user</cp:lastModifiedBy>
  <cp:revision>3</cp:revision>
  <cp:lastPrinted>2015-11-12T13:16:00Z</cp:lastPrinted>
  <dcterms:created xsi:type="dcterms:W3CDTF">2015-12-29T10:12:00Z</dcterms:created>
  <dcterms:modified xsi:type="dcterms:W3CDTF">2015-12-29T12:07:00Z</dcterms:modified>
</cp:coreProperties>
</file>