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F2" w:rsidRDefault="00CA29F2">
      <w:pPr>
        <w:pStyle w:val="Tijeloteksta"/>
        <w:spacing w:before="10"/>
        <w:rPr>
          <w:sz w:val="11"/>
        </w:rPr>
      </w:pPr>
    </w:p>
    <w:p w:rsidR="00CA29F2" w:rsidRDefault="001B1F90">
      <w:pPr>
        <w:pStyle w:val="Tijeloteksta"/>
        <w:spacing w:before="90"/>
        <w:ind w:right="1344"/>
        <w:jc w:val="right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1557019</wp:posOffset>
            </wp:positionH>
            <wp:positionV relativeFrom="paragraph">
              <wp:posOffset>-86955</wp:posOffset>
            </wp:positionV>
            <wp:extent cx="258444" cy="321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4" cy="32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9F2" w:rsidRDefault="001B1F90">
      <w:pPr>
        <w:spacing w:before="12" w:line="249" w:lineRule="auto"/>
        <w:ind w:left="926" w:right="7711"/>
        <w:jc w:val="center"/>
        <w:rPr>
          <w:b/>
          <w:sz w:val="20"/>
        </w:rPr>
      </w:pPr>
      <w:r>
        <w:rPr>
          <w:b/>
          <w:sz w:val="20"/>
        </w:rPr>
        <w:t>REPUBLIKA HRVATSKA OSJEČKO BARANJSKA ŽUPANIJA</w:t>
      </w:r>
    </w:p>
    <w:p w:rsidR="00CA29F2" w:rsidRDefault="00CA29F2">
      <w:pPr>
        <w:pStyle w:val="Tijeloteksta"/>
        <w:spacing w:before="3"/>
        <w:rPr>
          <w:b/>
          <w:sz w:val="17"/>
        </w:rPr>
      </w:pPr>
    </w:p>
    <w:p w:rsidR="00CA29F2" w:rsidRDefault="001B1F90">
      <w:pPr>
        <w:spacing w:line="228" w:lineRule="exact"/>
        <w:ind w:left="1338"/>
        <w:rPr>
          <w:b/>
          <w:sz w:val="20"/>
        </w:rPr>
      </w:pPr>
      <w:r>
        <w:rPr>
          <w:b/>
          <w:sz w:val="20"/>
        </w:rPr>
        <w:t>OPĆINA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VUKA</w:t>
      </w:r>
    </w:p>
    <w:p w:rsidR="00CA29F2" w:rsidRDefault="001B1F90">
      <w:pPr>
        <w:spacing w:line="228" w:lineRule="exact"/>
        <w:ind w:left="1389"/>
        <w:rPr>
          <w:b/>
          <w:sz w:val="20"/>
        </w:rPr>
      </w:pPr>
      <w:r>
        <w:rPr>
          <w:b/>
          <w:sz w:val="20"/>
        </w:rPr>
        <w:t>Općinsko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vijeće</w:t>
      </w:r>
    </w:p>
    <w:p w:rsidR="00CA29F2" w:rsidRDefault="00CA29F2">
      <w:pPr>
        <w:pStyle w:val="Tijeloteksta"/>
        <w:spacing w:before="6"/>
        <w:rPr>
          <w:b/>
          <w:sz w:val="20"/>
        </w:rPr>
      </w:pPr>
    </w:p>
    <w:p w:rsidR="00CA29F2" w:rsidRDefault="001B1F90">
      <w:pPr>
        <w:pStyle w:val="Tijeloteksta"/>
        <w:tabs>
          <w:tab w:val="left" w:leader="hyphen" w:pos="4368"/>
        </w:tabs>
        <w:spacing w:before="90"/>
        <w:ind w:left="100" w:right="429"/>
        <w:jc w:val="both"/>
      </w:pPr>
      <w:r>
        <w:t>Temeljem članka 72. Zakona o komunalnom gospodarstvu (Narodne novine broj 68/18, 110/18) i članka 36. Statuta Općine Vuka (Službeni glasnik Općine Vuka broj 01/14, 01/18), Općinsko vijeće Općine Vuka na svojoj</w:t>
      </w:r>
      <w:r>
        <w:rPr>
          <w:spacing w:val="-2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 23. prosinca 2019. godine donosi</w:t>
      </w:r>
    </w:p>
    <w:p w:rsidR="00CA29F2" w:rsidRDefault="00CA29F2">
      <w:pPr>
        <w:pStyle w:val="Tijeloteksta"/>
        <w:spacing w:before="5"/>
      </w:pPr>
    </w:p>
    <w:p w:rsidR="00CA29F2" w:rsidRDefault="001B1F90">
      <w:pPr>
        <w:pStyle w:val="Naslov1"/>
        <w:ind w:left="3271"/>
      </w:pPr>
      <w:r>
        <w:t>IZMJENE I DOPUNE PROGRAMA</w:t>
      </w:r>
    </w:p>
    <w:p w:rsidR="00CA29F2" w:rsidRDefault="001B1F90">
      <w:pPr>
        <w:ind w:left="4346" w:right="1461" w:hanging="3217"/>
        <w:rPr>
          <w:b/>
          <w:sz w:val="24"/>
        </w:rPr>
      </w:pPr>
      <w:r>
        <w:rPr>
          <w:b/>
          <w:sz w:val="24"/>
        </w:rPr>
        <w:t>ODRŽAVANJA OBJEKATA I UREĐAJA KOMUNALNE INFRASTRUKTURE ZA 2019. GODINU</w:t>
      </w:r>
    </w:p>
    <w:p w:rsidR="00CA29F2" w:rsidRDefault="00CA29F2">
      <w:pPr>
        <w:pStyle w:val="Tijeloteksta"/>
        <w:spacing w:before="7"/>
        <w:rPr>
          <w:b/>
          <w:sz w:val="23"/>
        </w:rPr>
      </w:pPr>
    </w:p>
    <w:p w:rsidR="00CA29F2" w:rsidRDefault="001B1F90">
      <w:pPr>
        <w:ind w:left="4843"/>
        <w:rPr>
          <w:b/>
          <w:sz w:val="24"/>
        </w:rPr>
      </w:pPr>
      <w:r>
        <w:rPr>
          <w:b/>
          <w:sz w:val="24"/>
        </w:rPr>
        <w:t>Članak 1.</w:t>
      </w:r>
    </w:p>
    <w:p w:rsidR="00CA29F2" w:rsidRDefault="001B1F90">
      <w:pPr>
        <w:pStyle w:val="Tijeloteksta"/>
        <w:spacing w:before="5"/>
        <w:ind w:left="100" w:right="707"/>
      </w:pPr>
      <w:r>
        <w:t>Ovim Programom određuje se opis i opseg poslova i izvori financijskih sredstava za održavanje objekata i uređaja komunalne infrastrukture na području Općine Vuka i to za komunalne djelatnosti kako slijedi: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održavanje javnih zelenih</w:t>
      </w:r>
      <w:r>
        <w:rPr>
          <w:spacing w:val="-4"/>
          <w:sz w:val="24"/>
        </w:rPr>
        <w:t xml:space="preserve"> </w:t>
      </w:r>
      <w:r>
        <w:rPr>
          <w:sz w:val="24"/>
        </w:rPr>
        <w:t>površina,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spacing w:line="275" w:lineRule="exact"/>
        <w:ind w:hanging="361"/>
        <w:rPr>
          <w:sz w:val="24"/>
        </w:rPr>
      </w:pPr>
      <w:r>
        <w:rPr>
          <w:sz w:val="24"/>
        </w:rPr>
        <w:t>redovito održavanje nerazvrstanih</w:t>
      </w:r>
      <w:r>
        <w:rPr>
          <w:spacing w:val="1"/>
          <w:sz w:val="24"/>
        </w:rPr>
        <w:t xml:space="preserve"> </w:t>
      </w:r>
      <w:r>
        <w:rPr>
          <w:sz w:val="24"/>
        </w:rPr>
        <w:t>cesta,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spacing w:line="275" w:lineRule="exact"/>
        <w:ind w:hanging="361"/>
        <w:rPr>
          <w:sz w:val="24"/>
        </w:rPr>
      </w:pPr>
      <w:r>
        <w:rPr>
          <w:sz w:val="24"/>
        </w:rPr>
        <w:t>zimsko održavanje nerazvrstanih</w:t>
      </w:r>
      <w:r>
        <w:rPr>
          <w:spacing w:val="-4"/>
          <w:sz w:val="24"/>
        </w:rPr>
        <w:t xml:space="preserve"> </w:t>
      </w:r>
      <w:r>
        <w:rPr>
          <w:sz w:val="24"/>
        </w:rPr>
        <w:t>cesta,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održavanje i nabava strojeva za uređenje zelenih</w:t>
      </w:r>
      <w:r>
        <w:rPr>
          <w:spacing w:val="-9"/>
          <w:sz w:val="24"/>
        </w:rPr>
        <w:t xml:space="preserve"> </w:t>
      </w:r>
      <w:r>
        <w:rPr>
          <w:sz w:val="24"/>
        </w:rPr>
        <w:t>površina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održavanje kanalske</w:t>
      </w:r>
      <w:r>
        <w:rPr>
          <w:spacing w:val="-5"/>
          <w:sz w:val="24"/>
        </w:rPr>
        <w:t xml:space="preserve"> </w:t>
      </w:r>
      <w:r>
        <w:rPr>
          <w:sz w:val="24"/>
        </w:rPr>
        <w:t>mreže,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održavanje groblja i</w:t>
      </w:r>
      <w:r>
        <w:rPr>
          <w:spacing w:val="-2"/>
          <w:sz w:val="24"/>
        </w:rPr>
        <w:t xml:space="preserve"> </w:t>
      </w:r>
      <w:r>
        <w:rPr>
          <w:sz w:val="24"/>
        </w:rPr>
        <w:t>mrtvačnice,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održavanje javne</w:t>
      </w:r>
      <w:r>
        <w:rPr>
          <w:spacing w:val="-2"/>
          <w:sz w:val="24"/>
        </w:rPr>
        <w:t xml:space="preserve"> </w:t>
      </w:r>
      <w:r>
        <w:rPr>
          <w:sz w:val="24"/>
        </w:rPr>
        <w:t>rasvjete,</w:t>
      </w:r>
    </w:p>
    <w:p w:rsidR="00CA29F2" w:rsidRDefault="001B1F90">
      <w:pPr>
        <w:pStyle w:val="Odlomakpopisa"/>
        <w:numPr>
          <w:ilvl w:val="0"/>
          <w:numId w:val="1"/>
        </w:numPr>
        <w:tabs>
          <w:tab w:val="left" w:pos="1169"/>
        </w:tabs>
        <w:spacing w:before="1"/>
        <w:ind w:hanging="361"/>
        <w:rPr>
          <w:sz w:val="24"/>
        </w:rPr>
      </w:pPr>
      <w:r>
        <w:rPr>
          <w:sz w:val="24"/>
        </w:rPr>
        <w:t>sufinanciranje komunalnog i poljoprivrednog</w:t>
      </w:r>
      <w:r>
        <w:rPr>
          <w:spacing w:val="-7"/>
          <w:sz w:val="24"/>
        </w:rPr>
        <w:t xml:space="preserve"> </w:t>
      </w:r>
      <w:r>
        <w:rPr>
          <w:sz w:val="24"/>
        </w:rPr>
        <w:t>redara.</w:t>
      </w:r>
    </w:p>
    <w:p w:rsidR="00CA29F2" w:rsidRDefault="00CA29F2">
      <w:pPr>
        <w:pStyle w:val="Tijeloteksta"/>
      </w:pPr>
    </w:p>
    <w:p w:rsidR="00CA29F2" w:rsidRDefault="001B1F90">
      <w:pPr>
        <w:pStyle w:val="Tijeloteksta"/>
        <w:ind w:left="100" w:right="438"/>
        <w:jc w:val="both"/>
      </w:pPr>
      <w:r>
        <w:t>Održavanjem objekata i uređaja komunalne infrastrukture nastoje se poboljšati uvjeti stanovanja na području Općine Vuka.</w:t>
      </w:r>
    </w:p>
    <w:p w:rsidR="00CA29F2" w:rsidRDefault="001B1F90">
      <w:pPr>
        <w:pStyle w:val="Tijeloteksta"/>
        <w:ind w:left="100" w:right="430"/>
        <w:jc w:val="both"/>
      </w:pPr>
      <w:r>
        <w:t>Održavanje javne rasvjete na području Općine regulirano je Ugovorom o održavanju javne rasvjete. Na području</w:t>
      </w:r>
      <w:r>
        <w:rPr>
          <w:spacing w:val="-8"/>
        </w:rPr>
        <w:t xml:space="preserve"> </w:t>
      </w:r>
      <w:r>
        <w:t>Općine</w:t>
      </w:r>
      <w:r>
        <w:rPr>
          <w:spacing w:val="-9"/>
        </w:rPr>
        <w:t xml:space="preserve"> </w:t>
      </w:r>
      <w:r>
        <w:t>ugrađeno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298</w:t>
      </w:r>
      <w:r>
        <w:rPr>
          <w:spacing w:val="-8"/>
        </w:rPr>
        <w:t xml:space="preserve"> </w:t>
      </w:r>
      <w:r>
        <w:t>rasvjetnih</w:t>
      </w:r>
      <w:r>
        <w:rPr>
          <w:spacing w:val="-8"/>
        </w:rPr>
        <w:t xml:space="preserve"> </w:t>
      </w:r>
      <w:r>
        <w:t>tijela</w:t>
      </w:r>
      <w:r>
        <w:rPr>
          <w:spacing w:val="-1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pravilu</w:t>
      </w:r>
      <w:r>
        <w:rPr>
          <w:spacing w:val="-8"/>
        </w:rPr>
        <w:t xml:space="preserve"> </w:t>
      </w:r>
      <w:r>
        <w:t>intervencije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održavanju</w:t>
      </w:r>
      <w:r>
        <w:rPr>
          <w:spacing w:val="-7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rasvjete izvode se u prosjeku tri puta godišnje što ovisi i o samim kvarovima na rasvjetnim</w:t>
      </w:r>
      <w:r>
        <w:rPr>
          <w:spacing w:val="-21"/>
        </w:rPr>
        <w:t xml:space="preserve"> </w:t>
      </w:r>
      <w:r>
        <w:t>tijelima.</w:t>
      </w:r>
    </w:p>
    <w:p w:rsidR="00CA29F2" w:rsidRDefault="001B1F90">
      <w:pPr>
        <w:pStyle w:val="Tijeloteksta"/>
        <w:spacing w:line="237" w:lineRule="auto"/>
        <w:ind w:left="100" w:right="426"/>
        <w:jc w:val="both"/>
      </w:pPr>
      <w:r>
        <w:t xml:space="preserve">Na području Općine Vuka postoji jedno groblje, Mjesno groblje Vuka, ukupne površine cca 9.000 </w:t>
      </w:r>
      <w:r>
        <w:rPr>
          <w:spacing w:val="3"/>
        </w:rPr>
        <w:t>m</w:t>
      </w:r>
      <w:r>
        <w:rPr>
          <w:spacing w:val="3"/>
          <w:position w:val="9"/>
          <w:sz w:val="16"/>
        </w:rPr>
        <w:t>2</w:t>
      </w:r>
      <w:r>
        <w:rPr>
          <w:spacing w:val="3"/>
        </w:rPr>
        <w:t xml:space="preserve">. </w:t>
      </w:r>
      <w:r>
        <w:t>Pod održavanjem groblja podrazumijeva se košnja koja se u pravilu obavlja sukladno potrebama, tijekom godine, iznošenje i odvoz smeća, nabavku potrepština za groblje. U sklopu groblja izgrađena je mrtvačnica ukupne površine 100 m</w:t>
      </w:r>
      <w:r>
        <w:rPr>
          <w:position w:val="9"/>
          <w:sz w:val="16"/>
        </w:rPr>
        <w:t>2</w:t>
      </w:r>
      <w:r>
        <w:t>. U navedenoj aktivnosti planirana su i sredstva za nabavu materijala za održavanje mrtvačnice. Za održavanje groblja i mrtvačnice u 2019. god. planirana su sredstva u iznosu od 23.000,00 kn. Ukupna površina nerazvrstanih cesta koje se održavaju tokom godine iznosi oko 17.080 m</w:t>
      </w:r>
      <w:r>
        <w:rPr>
          <w:position w:val="9"/>
          <w:sz w:val="16"/>
        </w:rPr>
        <w:t xml:space="preserve">2. </w:t>
      </w:r>
      <w:r>
        <w:t>. Održavanje nerazvrstanih</w:t>
      </w:r>
      <w:r>
        <w:rPr>
          <w:spacing w:val="-6"/>
        </w:rPr>
        <w:t xml:space="preserve"> </w:t>
      </w:r>
      <w:r>
        <w:t>cesta</w:t>
      </w:r>
      <w:r>
        <w:rPr>
          <w:spacing w:val="-6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sljedeće</w:t>
      </w:r>
      <w:r>
        <w:rPr>
          <w:spacing w:val="-8"/>
        </w:rPr>
        <w:t xml:space="preserve"> </w:t>
      </w:r>
      <w:r>
        <w:t>ulice:</w:t>
      </w:r>
      <w:r>
        <w:rPr>
          <w:spacing w:val="-5"/>
        </w:rPr>
        <w:t xml:space="preserve"> </w:t>
      </w:r>
      <w:r>
        <w:t>ulica</w:t>
      </w:r>
      <w:r>
        <w:rPr>
          <w:spacing w:val="-4"/>
        </w:rPr>
        <w:t xml:space="preserve"> </w:t>
      </w:r>
      <w:r>
        <w:t>Mirna,</w:t>
      </w:r>
      <w:r>
        <w:rPr>
          <w:spacing w:val="-7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Osječke,</w:t>
      </w:r>
      <w:r>
        <w:rPr>
          <w:spacing w:val="-6"/>
        </w:rPr>
        <w:t xml:space="preserve"> </w:t>
      </w:r>
      <w:r>
        <w:t>ulica</w:t>
      </w:r>
      <w:r>
        <w:rPr>
          <w:spacing w:val="-8"/>
        </w:rPr>
        <w:t xml:space="preserve"> </w:t>
      </w:r>
      <w:r>
        <w:t>Milka</w:t>
      </w:r>
      <w:r>
        <w:rPr>
          <w:spacing w:val="-7"/>
        </w:rPr>
        <w:t xml:space="preserve"> </w:t>
      </w:r>
      <w:proofErr w:type="spellStart"/>
      <w:r>
        <w:t>Cepelića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N.Š.Zrinskog</w:t>
      </w:r>
      <w:proofErr w:type="spellEnd"/>
      <w:r>
        <w:t>, Dubravski</w:t>
      </w:r>
      <w:r>
        <w:rPr>
          <w:spacing w:val="-11"/>
        </w:rPr>
        <w:t xml:space="preserve"> </w:t>
      </w:r>
      <w:r>
        <w:t>put,</w:t>
      </w:r>
      <w:r>
        <w:rPr>
          <w:spacing w:val="-11"/>
        </w:rPr>
        <w:t xml:space="preserve"> </w:t>
      </w:r>
      <w:proofErr w:type="spellStart"/>
      <w:r>
        <w:t>Semeljačka</w:t>
      </w:r>
      <w:proofErr w:type="spellEnd"/>
      <w:r>
        <w:t>,</w:t>
      </w:r>
      <w:r>
        <w:rPr>
          <w:spacing w:val="-10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dio</w:t>
      </w:r>
      <w:r>
        <w:rPr>
          <w:spacing w:val="-11"/>
        </w:rPr>
        <w:t xml:space="preserve"> </w:t>
      </w:r>
      <w:r>
        <w:t>ulice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Lipovcu</w:t>
      </w:r>
      <w:r>
        <w:rPr>
          <w:spacing w:val="-9"/>
        </w:rPr>
        <w:t xml:space="preserve"> </w:t>
      </w:r>
      <w:r>
        <w:t>Hrastinskom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Veliki</w:t>
      </w:r>
      <w:r>
        <w:rPr>
          <w:spacing w:val="-13"/>
        </w:rPr>
        <w:t xml:space="preserve"> </w:t>
      </w:r>
      <w:r>
        <w:t>Rastovac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Hrastovcu),</w:t>
      </w:r>
      <w:r>
        <w:rPr>
          <w:spacing w:val="-11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nasipavanje poljskih puteva koje koriste poljoprivrednici. Pod redovitim održavanje nerazvrstanih cesta podrazumijeva</w:t>
      </w:r>
      <w:r>
        <w:rPr>
          <w:spacing w:val="-38"/>
        </w:rPr>
        <w:t xml:space="preserve"> </w:t>
      </w:r>
      <w:r>
        <w:t>se održavanje prohodnosti, nasipavanje te košnja uz ceste. Zimsko održavanje podrazumijeva čišćenje ulica od snijega i nasipavanje za vrijeme</w:t>
      </w:r>
      <w:r>
        <w:rPr>
          <w:spacing w:val="-3"/>
        </w:rPr>
        <w:t xml:space="preserve"> </w:t>
      </w:r>
      <w:r>
        <w:t>poledice.</w:t>
      </w:r>
    </w:p>
    <w:p w:rsidR="00CA29F2" w:rsidRDefault="001B1F90">
      <w:pPr>
        <w:pStyle w:val="Tijeloteksta"/>
        <w:ind w:left="100" w:right="438"/>
        <w:jc w:val="both"/>
      </w:pPr>
      <w:r>
        <w:t xml:space="preserve">Za održavanje kanalske mreže u 2019. godini planirana su sredstva u iznosu od 10.000,00. Pod održavanje kanalske mreže podrazumijeva se čišćenje i </w:t>
      </w:r>
      <w:proofErr w:type="spellStart"/>
      <w:r>
        <w:t>izmuljivanje</w:t>
      </w:r>
      <w:proofErr w:type="spellEnd"/>
      <w:r>
        <w:t xml:space="preserve"> kanala.</w:t>
      </w:r>
    </w:p>
    <w:p w:rsidR="00CA29F2" w:rsidRDefault="001B1F90">
      <w:pPr>
        <w:pStyle w:val="Tijeloteksta"/>
        <w:spacing w:before="52"/>
        <w:ind w:left="100" w:right="425"/>
        <w:jc w:val="both"/>
      </w:pPr>
      <w:r>
        <w:t>Za održavanje javnih zelenih površina predviđena su sredstva u iznosu od 73.000,00 kn. Iznos se odnosi na nabavu goriva za košnju te održavanje i popravak strojeva. Općina uređuje ukupno 100.000,00 m2 javnih površine na cijelom području Općine.</w:t>
      </w:r>
    </w:p>
    <w:p w:rsidR="00CA29F2" w:rsidRDefault="001B1F90">
      <w:pPr>
        <w:pStyle w:val="Naslov1"/>
        <w:spacing w:line="272" w:lineRule="exact"/>
      </w:pPr>
      <w:r>
        <w:t>Članak 2.</w:t>
      </w:r>
    </w:p>
    <w:p w:rsidR="00CA29F2" w:rsidRDefault="001B1F90">
      <w:pPr>
        <w:pStyle w:val="Tijeloteksta"/>
        <w:spacing w:before="3"/>
        <w:ind w:left="100" w:right="707"/>
      </w:pPr>
      <w:r>
        <w:t>Planirana sredstva za provedbu Programa održavanja objekata i uređaja komunalne infrastrukture iz Općinskog proračuna za 2019. godinu iznose kako slijedi:</w:t>
      </w:r>
    </w:p>
    <w:p w:rsidR="00CA29F2" w:rsidRDefault="00CA29F2">
      <w:pPr>
        <w:sectPr w:rsidR="00CA29F2">
          <w:type w:val="continuous"/>
          <w:pgSz w:w="11920" w:h="16850"/>
          <w:pgMar w:top="1180" w:right="282" w:bottom="280" w:left="620" w:header="720" w:footer="720" w:gutter="0"/>
          <w:cols w:space="720"/>
        </w:sectPr>
      </w:pPr>
    </w:p>
    <w:p w:rsidR="00CA29F2" w:rsidRDefault="001B1F90">
      <w:pPr>
        <w:spacing w:before="81"/>
        <w:ind w:left="1271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588657</wp:posOffset>
            </wp:positionH>
            <wp:positionV relativeFrom="paragraph">
              <wp:posOffset>65568</wp:posOffset>
            </wp:positionV>
            <wp:extent cx="524205" cy="6652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05" cy="6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CA29F2" w:rsidRDefault="001B1F90">
      <w:pPr>
        <w:spacing w:before="50"/>
        <w:ind w:left="127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CA29F2" w:rsidRDefault="001B1F90">
      <w:pPr>
        <w:spacing w:before="53"/>
        <w:ind w:left="1273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238125</wp:posOffset>
                </wp:positionV>
                <wp:extent cx="25666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1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75A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5pt,18.75pt" to="295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" strokeweight=".04239mm">
                <w10:wrap type="topAndBottom" anchorx="page"/>
              </v:line>
            </w:pict>
          </mc:Fallback>
        </mc:AlternateContent>
      </w:r>
      <w:r>
        <w:rPr>
          <w:rFonts w:ascii="Arial" w:hAnsi="Arial"/>
          <w:b/>
        </w:rPr>
        <w:t>OPĆINA VUKA</w:t>
      </w:r>
    </w:p>
    <w:p w:rsidR="00CA29F2" w:rsidRDefault="001B1F90">
      <w:pPr>
        <w:spacing w:before="35"/>
        <w:ind w:left="1273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CA29F2" w:rsidRDefault="00CA29F2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7"/>
        <w:gridCol w:w="115"/>
        <w:gridCol w:w="4051"/>
        <w:gridCol w:w="1811"/>
        <w:gridCol w:w="1810"/>
        <w:gridCol w:w="1842"/>
      </w:tblGrid>
      <w:tr w:rsidR="00CA29F2">
        <w:trPr>
          <w:trHeight w:val="828"/>
        </w:trPr>
        <w:tc>
          <w:tcPr>
            <w:tcW w:w="1065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4"/>
              <w:ind w:left="53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VUKA ZA 2019. GODINU</w:t>
            </w:r>
          </w:p>
          <w:p w:rsidR="00CA29F2" w:rsidRDefault="001B1F90">
            <w:pPr>
              <w:pStyle w:val="TableParagraph"/>
              <w:spacing w:before="75"/>
              <w:ind w:left="10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ODRŽAVANJA OBJEKATA I UREĐAJA KOMUNALNE INFRASTRUKTURE</w:t>
            </w:r>
          </w:p>
        </w:tc>
      </w:tr>
      <w:tr w:rsidR="00CA29F2">
        <w:trPr>
          <w:trHeight w:val="835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 w:line="241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A29F2" w:rsidRDefault="001B1F90">
            <w:pPr>
              <w:pStyle w:val="TableParagraph"/>
              <w:spacing w:before="0" w:line="241" w:lineRule="exact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A29F2" w:rsidRDefault="001B1F90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 w:line="241" w:lineRule="exact"/>
              <w:ind w:left="1811" w:right="17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A29F2" w:rsidRDefault="00CA29F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A29F2" w:rsidRDefault="001B1F90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 w:line="241" w:lineRule="exact"/>
              <w:ind w:left="194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CA29F2" w:rsidRDefault="001B1F90">
            <w:pPr>
              <w:pStyle w:val="TableParagraph"/>
              <w:spacing w:before="0" w:line="241" w:lineRule="exact"/>
              <w:ind w:left="194" w:right="227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CA29F2" w:rsidRDefault="001B1F90">
            <w:pPr>
              <w:pStyle w:val="TableParagraph"/>
              <w:spacing w:before="9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 w:line="241" w:lineRule="exact"/>
              <w:ind w:left="386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A29F2" w:rsidRDefault="001B1F90">
            <w:pPr>
              <w:pStyle w:val="TableParagraph"/>
              <w:spacing w:before="0" w:line="241" w:lineRule="exact"/>
              <w:ind w:left="386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CA29F2" w:rsidRDefault="001B1F90"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 w:line="241" w:lineRule="exact"/>
              <w:ind w:left="13" w:right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CA29F2" w:rsidRDefault="001B1F90">
            <w:pPr>
              <w:pStyle w:val="TableParagraph"/>
              <w:spacing w:before="0" w:line="241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CA29F2" w:rsidRDefault="001B1F90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A29F2">
        <w:trPr>
          <w:trHeight w:val="496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A29F2" w:rsidRDefault="001B1F9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A29F2" w:rsidRDefault="001B1F9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A29F2" w:rsidRDefault="001B1F90">
            <w:pPr>
              <w:pStyle w:val="TableParagraph"/>
              <w:spacing w:before="4" w:line="241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</w:t>
            </w:r>
          </w:p>
          <w:p w:rsidR="00CA29F2" w:rsidRDefault="001B1F90">
            <w:pPr>
              <w:pStyle w:val="TableParagraph"/>
              <w:spacing w:before="0" w:line="231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KOMUNALNE INFRASTRUKTURE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A29F2" w:rsidRDefault="001B1F90">
            <w:pPr>
              <w:pStyle w:val="TableParagraph"/>
              <w:spacing w:before="4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740.500,00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A29F2" w:rsidRDefault="001B1F90">
            <w:pPr>
              <w:pStyle w:val="TableParagraph"/>
              <w:spacing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-234.500,00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A29F2" w:rsidRDefault="001B1F90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506.000,00</w:t>
            </w:r>
          </w:p>
        </w:tc>
      </w:tr>
      <w:tr w:rsidR="00CA29F2">
        <w:trPr>
          <w:trHeight w:val="251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CA29F2" w:rsidRDefault="001B1F90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0435 Električna energija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CA29F2">
        <w:trPr>
          <w:trHeight w:val="184"/>
        </w:trPr>
        <w:tc>
          <w:tcPr>
            <w:tcW w:w="1025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78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3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3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CA29F2">
        <w:trPr>
          <w:trHeight w:val="32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CA29F2">
        <w:trPr>
          <w:trHeight w:val="32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40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051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CA29F2">
        <w:trPr>
          <w:trHeight w:val="254"/>
        </w:trPr>
        <w:tc>
          <w:tcPr>
            <w:tcW w:w="1140" w:type="dxa"/>
            <w:gridSpan w:val="3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4051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MRTVAČNICE</w:t>
            </w:r>
          </w:p>
          <w:p w:rsidR="00CA29F2" w:rsidRDefault="001B1F90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1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</w:tr>
      <w:tr w:rsidR="00CA29F2">
        <w:trPr>
          <w:trHeight w:val="184"/>
        </w:trPr>
        <w:tc>
          <w:tcPr>
            <w:tcW w:w="1025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2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6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6"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6"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6"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6"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</w:tr>
      <w:tr w:rsidR="00CA29F2">
        <w:trPr>
          <w:trHeight w:val="31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0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Motorni benzin i dizel gorivo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A29F2">
        <w:trPr>
          <w:trHeight w:val="49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32244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0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 w:line="242" w:lineRule="auto"/>
              <w:ind w:left="149"/>
              <w:rPr>
                <w:sz w:val="16"/>
              </w:rPr>
            </w:pPr>
            <w:r>
              <w:rPr>
                <w:sz w:val="16"/>
              </w:rPr>
              <w:t>Ostali materijal i dijelovi za tekuće i investicijsko održavanje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A29F2">
        <w:trPr>
          <w:trHeight w:val="31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A29F2">
        <w:trPr>
          <w:trHeight w:val="31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9F2">
        <w:trPr>
          <w:trHeight w:val="32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z w:val="16"/>
              </w:rPr>
              <w:t>Iznošenje i odvoz smeća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CA29F2">
        <w:trPr>
          <w:trHeight w:val="446"/>
        </w:trPr>
        <w:tc>
          <w:tcPr>
            <w:tcW w:w="1140" w:type="dxa"/>
            <w:gridSpan w:val="3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4051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 NERAZVRSTANIH</w:t>
            </w:r>
          </w:p>
          <w:p w:rsidR="00CA29F2" w:rsidRDefault="001B1F90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CESTA</w:t>
            </w:r>
          </w:p>
          <w:p w:rsidR="00CA29F2" w:rsidRDefault="001B1F90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1"/>
              <w:ind w:left="802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81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1"/>
              <w:ind w:left="742"/>
              <w:rPr>
                <w:b/>
                <w:sz w:val="16"/>
              </w:rPr>
            </w:pPr>
            <w:r>
              <w:rPr>
                <w:b/>
                <w:sz w:val="16"/>
              </w:rPr>
              <w:t>-145.000,00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1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</w:tr>
      <w:tr w:rsidR="00CA29F2">
        <w:trPr>
          <w:trHeight w:val="186"/>
        </w:trPr>
        <w:tc>
          <w:tcPr>
            <w:tcW w:w="1025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5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4" w:line="161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4" w:line="161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4" w:line="161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4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4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CA29F2">
        <w:trPr>
          <w:trHeight w:val="502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left="10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051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CA29F2" w:rsidRDefault="001B1F90">
            <w:pPr>
              <w:pStyle w:val="TableParagraph"/>
              <w:spacing w:before="91" w:line="188" w:lineRule="exact"/>
              <w:ind w:left="96"/>
              <w:rPr>
                <w:sz w:val="16"/>
              </w:rPr>
            </w:pPr>
            <w:r>
              <w:rPr>
                <w:sz w:val="16"/>
              </w:rPr>
              <w:t>NASIPAVANJE PUTEVA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-31.000,00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CA29F2">
        <w:trPr>
          <w:trHeight w:val="32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left="101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9F2">
        <w:trPr>
          <w:trHeight w:val="185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3" w:line="162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3" w:line="162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3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3" w:line="16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</w:tr>
      <w:tr w:rsidR="00CA29F2">
        <w:trPr>
          <w:trHeight w:val="49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0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CA29F2" w:rsidRDefault="001B1F90">
            <w:pPr>
              <w:pStyle w:val="TableParagraph"/>
              <w:spacing w:before="91"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NASIPAVANJE PUTEVA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CA29F2">
        <w:trPr>
          <w:trHeight w:val="181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A29F2">
        <w:trPr>
          <w:trHeight w:val="49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CA29F2" w:rsidRDefault="001B1F90">
            <w:pPr>
              <w:pStyle w:val="TableParagraph"/>
              <w:spacing w:before="91" w:line="187" w:lineRule="exact"/>
              <w:ind w:left="96"/>
              <w:rPr>
                <w:sz w:val="16"/>
              </w:rPr>
            </w:pPr>
            <w:r>
              <w:rPr>
                <w:sz w:val="16"/>
              </w:rPr>
              <w:t>NASIPAVANJE PUTEVA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9F2">
        <w:trPr>
          <w:trHeight w:val="191"/>
        </w:trPr>
        <w:tc>
          <w:tcPr>
            <w:tcW w:w="1140" w:type="dxa"/>
            <w:gridSpan w:val="3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60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40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6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60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247.000,00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-25.000,00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222.000,00</w:t>
            </w:r>
          </w:p>
        </w:tc>
      </w:tr>
      <w:tr w:rsidR="00CA29F2">
        <w:trPr>
          <w:trHeight w:val="496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0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CA29F2" w:rsidRDefault="001B1F90">
            <w:pPr>
              <w:pStyle w:val="TableParagraph"/>
              <w:spacing w:before="91"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NASIPAVANJE PUTEVA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</w:tr>
      <w:tr w:rsidR="00CA29F2">
        <w:trPr>
          <w:trHeight w:val="248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CA29F2" w:rsidRDefault="001B1F90">
            <w:pPr>
              <w:pStyle w:val="TableParagraph"/>
              <w:spacing w:before="47"/>
              <w:ind w:left="79" w:right="11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CA29F2">
        <w:trPr>
          <w:trHeight w:val="186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50"/>
        </w:trPr>
        <w:tc>
          <w:tcPr>
            <w:tcW w:w="1140" w:type="dxa"/>
            <w:gridSpan w:val="3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6"/>
        </w:trPr>
        <w:tc>
          <w:tcPr>
            <w:tcW w:w="1140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1"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CA29F2">
        <w:trPr>
          <w:trHeight w:val="32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01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A29F2">
        <w:trPr>
          <w:trHeight w:val="254"/>
        </w:trPr>
        <w:tc>
          <w:tcPr>
            <w:tcW w:w="1140" w:type="dxa"/>
            <w:gridSpan w:val="3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4051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:rsidR="00CA29F2" w:rsidRDefault="001B1F90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1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81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-5.500,00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CA29F2">
        <w:trPr>
          <w:trHeight w:val="188"/>
        </w:trPr>
        <w:tc>
          <w:tcPr>
            <w:tcW w:w="1025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79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4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4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</w:tr>
      <w:tr w:rsidR="00CA29F2">
        <w:trPr>
          <w:trHeight w:val="31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CA29F2">
        <w:trPr>
          <w:trHeight w:val="508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32393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:rsidR="00CA29F2" w:rsidRDefault="001B1F90">
            <w:pPr>
              <w:pStyle w:val="TableParagraph"/>
              <w:spacing w:before="91"/>
              <w:ind w:left="96"/>
              <w:rPr>
                <w:sz w:val="16"/>
              </w:rPr>
            </w:pPr>
            <w:r>
              <w:rPr>
                <w:sz w:val="16"/>
              </w:rPr>
              <w:t>SADNICE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CVIJEĆA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29F2" w:rsidRDefault="001B1F9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A29F2" w:rsidRDefault="001B1F90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:rsidR="00CA29F2" w:rsidRDefault="00CA29F2">
      <w:pPr>
        <w:jc w:val="right"/>
        <w:rPr>
          <w:sz w:val="16"/>
        </w:rPr>
        <w:sectPr w:rsidR="00CA29F2">
          <w:pgSz w:w="11910" w:h="16850"/>
          <w:pgMar w:top="10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7"/>
        <w:gridCol w:w="115"/>
        <w:gridCol w:w="4051"/>
        <w:gridCol w:w="1811"/>
        <w:gridCol w:w="1810"/>
        <w:gridCol w:w="1842"/>
      </w:tblGrid>
      <w:tr w:rsidR="00CA29F2">
        <w:trPr>
          <w:trHeight w:val="829"/>
        </w:trPr>
        <w:tc>
          <w:tcPr>
            <w:tcW w:w="1065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1"/>
              <w:ind w:left="5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 I DOPUNE PRORAČUNA OPĆINE VUKA ZA 2019. GODINU</w:t>
            </w:r>
          </w:p>
          <w:p w:rsidR="00CA29F2" w:rsidRDefault="001B1F90">
            <w:pPr>
              <w:pStyle w:val="TableParagraph"/>
              <w:spacing w:before="76"/>
              <w:ind w:left="10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ODRŽAVANJA OBJEKATA I UREĐAJA KOMUNALNE INFRASTRUKTURE</w:t>
            </w:r>
          </w:p>
        </w:tc>
      </w:tr>
      <w:tr w:rsidR="00CA29F2">
        <w:trPr>
          <w:trHeight w:val="835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 w:line="237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A29F2" w:rsidRDefault="001B1F90">
            <w:pPr>
              <w:pStyle w:val="TableParagraph"/>
              <w:spacing w:before="0" w:line="241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A29F2" w:rsidRDefault="001B1F9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 w:line="237" w:lineRule="exact"/>
              <w:ind w:left="1803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A29F2" w:rsidRDefault="00CA29F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A29F2" w:rsidRDefault="001B1F9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2" w:line="241" w:lineRule="exact"/>
              <w:ind w:left="186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CA29F2" w:rsidRDefault="001B1F90">
            <w:pPr>
              <w:pStyle w:val="TableParagraph"/>
              <w:spacing w:before="0" w:line="241" w:lineRule="exact"/>
              <w:ind w:left="192" w:right="240"/>
              <w:jc w:val="center"/>
              <w:rPr>
                <w:sz w:val="20"/>
              </w:rPr>
            </w:pPr>
            <w:r>
              <w:rPr>
                <w:sz w:val="20"/>
              </w:rPr>
              <w:t>2019 - 2.</w:t>
            </w:r>
          </w:p>
          <w:p w:rsidR="00CA29F2" w:rsidRDefault="001B1F90">
            <w:pPr>
              <w:pStyle w:val="TableParagraph"/>
              <w:spacing w:before="9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2" w:line="241" w:lineRule="exact"/>
              <w:ind w:left="378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A29F2" w:rsidRDefault="001B1F90">
            <w:pPr>
              <w:pStyle w:val="TableParagraph"/>
              <w:spacing w:before="0" w:line="241" w:lineRule="exact"/>
              <w:ind w:left="37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CA29F2" w:rsidRDefault="001B1F90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2" w:line="241" w:lineRule="exact"/>
              <w:ind w:left="66" w:right="13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CA29F2" w:rsidRDefault="001B1F90">
            <w:pPr>
              <w:pStyle w:val="TableParagraph"/>
              <w:spacing w:before="0" w:line="241" w:lineRule="exact"/>
              <w:ind w:left="60" w:right="64"/>
              <w:jc w:val="center"/>
              <w:rPr>
                <w:sz w:val="20"/>
              </w:rPr>
            </w:pPr>
            <w:r>
              <w:rPr>
                <w:sz w:val="20"/>
              </w:rPr>
              <w:t>2019 - 3. Rebalans</w:t>
            </w:r>
          </w:p>
          <w:p w:rsidR="00CA29F2" w:rsidRDefault="001B1F90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A29F2">
        <w:trPr>
          <w:trHeight w:val="441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 w:line="242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KOMUNALNOG I POLJOPRIVREDNOG REDARA</w:t>
            </w:r>
          </w:p>
          <w:p w:rsidR="00CA29F2" w:rsidRDefault="001B1F90">
            <w:pPr>
              <w:pStyle w:val="TableParagraph"/>
              <w:spacing w:before="41"/>
              <w:ind w:left="71" w:right="11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0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CA29F2">
        <w:trPr>
          <w:trHeight w:val="178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43"/>
        </w:trPr>
        <w:tc>
          <w:tcPr>
            <w:tcW w:w="1140" w:type="dxa"/>
            <w:gridSpan w:val="3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3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62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62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62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62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62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</w:tr>
      <w:tr w:rsidR="00CA29F2">
        <w:trPr>
          <w:trHeight w:val="69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36316</w:t>
            </w:r>
          </w:p>
        </w:tc>
        <w:tc>
          <w:tcPr>
            <w:tcW w:w="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93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Tekuće pomoći općinskim proračunima</w:t>
            </w:r>
          </w:p>
          <w:p w:rsidR="00CA29F2" w:rsidRDefault="001B1F90">
            <w:pPr>
              <w:pStyle w:val="TableParagraph"/>
              <w:spacing w:before="91" w:line="190" w:lineRule="atLeast"/>
              <w:ind w:left="88" w:right="84"/>
              <w:rPr>
                <w:sz w:val="16"/>
              </w:rPr>
            </w:pPr>
            <w:r>
              <w:rPr>
                <w:sz w:val="16"/>
              </w:rPr>
              <w:t>SUFINANCIRANJE KOMUNALNOG I POLJOPRIVREDNOG REDARA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 w:rsidR="00CA29F2">
        <w:trPr>
          <w:trHeight w:val="249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CA29F2" w:rsidRDefault="001B1F9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1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CA29F2">
        <w:trPr>
          <w:trHeight w:val="185"/>
        </w:trPr>
        <w:tc>
          <w:tcPr>
            <w:tcW w:w="1025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6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4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4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CA29F2">
        <w:trPr>
          <w:trHeight w:val="50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13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Ostale komunalne usluge</w:t>
            </w:r>
          </w:p>
          <w:p w:rsidR="00CA29F2" w:rsidRDefault="001B1F90">
            <w:pPr>
              <w:pStyle w:val="TableParagraph"/>
              <w:spacing w:before="91" w:line="191" w:lineRule="exact"/>
              <w:ind w:left="88"/>
              <w:rPr>
                <w:sz w:val="16"/>
              </w:rPr>
            </w:pPr>
            <w:r>
              <w:rPr>
                <w:sz w:val="16"/>
              </w:rPr>
              <w:t>ČIŠĆENJE SNIJEGA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A29F2">
        <w:trPr>
          <w:trHeight w:val="446"/>
        </w:trPr>
        <w:tc>
          <w:tcPr>
            <w:tcW w:w="1140" w:type="dxa"/>
            <w:gridSpan w:val="3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line="242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UREĐAJA I STROJEVA ZA UREĐENJE ZELENIH POVRŠINA</w:t>
            </w:r>
          </w:p>
          <w:p w:rsidR="00CA29F2" w:rsidRDefault="001B1F90">
            <w:pPr>
              <w:pStyle w:val="TableParagraph"/>
              <w:spacing w:before="41"/>
              <w:ind w:left="71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CA29F2">
        <w:trPr>
          <w:trHeight w:val="186"/>
        </w:trPr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84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3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2" w:line="16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</w:tr>
      <w:tr w:rsidR="00CA29F2">
        <w:trPr>
          <w:trHeight w:val="325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93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Motorni benzin i dizel gorivo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CA29F2">
        <w:trPr>
          <w:trHeight w:val="87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93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CA29F2" w:rsidRDefault="001B1F90">
            <w:pPr>
              <w:pStyle w:val="TableParagraph"/>
              <w:spacing w:before="3"/>
              <w:ind w:left="141"/>
              <w:rPr>
                <w:sz w:val="16"/>
              </w:rPr>
            </w:pPr>
            <w:r>
              <w:rPr>
                <w:sz w:val="16"/>
              </w:rPr>
              <w:t>postrojenja i opreme</w:t>
            </w:r>
          </w:p>
          <w:p w:rsidR="00CA29F2" w:rsidRDefault="001B1F90">
            <w:pPr>
              <w:pStyle w:val="TableParagraph"/>
              <w:spacing w:before="70" w:line="190" w:lineRule="atLeast"/>
              <w:ind w:left="88"/>
              <w:rPr>
                <w:sz w:val="16"/>
              </w:rPr>
            </w:pPr>
            <w:r>
              <w:rPr>
                <w:sz w:val="16"/>
              </w:rPr>
              <w:t>ODRŽAVANJE STROJEVA ZA UREĐENJE JAVNIH POVRŠINA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</w:tr>
      <w:tr w:rsidR="00CA29F2">
        <w:trPr>
          <w:trHeight w:val="446"/>
        </w:trPr>
        <w:tc>
          <w:tcPr>
            <w:tcW w:w="1140" w:type="dxa"/>
            <w:gridSpan w:val="3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K100107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 w:line="242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ZA UREĐENJE ZELENIH POVRŠINA</w:t>
            </w:r>
          </w:p>
          <w:p w:rsidR="00CA29F2" w:rsidRDefault="001B1F90">
            <w:pPr>
              <w:pStyle w:val="TableParagraph"/>
              <w:spacing w:before="42"/>
              <w:ind w:left="71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A29F2">
        <w:trPr>
          <w:trHeight w:val="186"/>
        </w:trPr>
        <w:tc>
          <w:tcPr>
            <w:tcW w:w="1025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A29F2" w:rsidRDefault="00CA29F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CA29F2">
            <w:pPr>
              <w:rPr>
                <w:sz w:val="2"/>
                <w:szCs w:val="2"/>
              </w:rPr>
            </w:pPr>
          </w:p>
        </w:tc>
      </w:tr>
      <w:tr w:rsidR="00CA29F2">
        <w:trPr>
          <w:trHeight w:val="178"/>
        </w:trPr>
        <w:tc>
          <w:tcPr>
            <w:tcW w:w="11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57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A29F2" w:rsidRDefault="001B1F90">
            <w:pPr>
              <w:pStyle w:val="TableParagraph"/>
              <w:spacing w:before="1" w:line="157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A29F2">
        <w:trPr>
          <w:trHeight w:val="31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42272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2"/>
              <w:ind w:left="93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sz w:val="16"/>
              </w:rPr>
              <w:t>Strojevi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29F2" w:rsidRDefault="001B1F9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A29F2" w:rsidRDefault="001B1F9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9F2">
        <w:trPr>
          <w:trHeight w:val="424"/>
        </w:trPr>
        <w:tc>
          <w:tcPr>
            <w:tcW w:w="51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4"/>
              <w:ind w:left="12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6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740.500,00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6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-234.500,00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A29F2" w:rsidRDefault="001B1F90">
            <w:pPr>
              <w:pStyle w:val="TableParagraph"/>
              <w:spacing w:before="66"/>
              <w:ind w:right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506.000,00</w:t>
            </w:r>
          </w:p>
        </w:tc>
      </w:tr>
    </w:tbl>
    <w:p w:rsidR="00CA29F2" w:rsidRDefault="00CA29F2">
      <w:pPr>
        <w:jc w:val="right"/>
        <w:rPr>
          <w:sz w:val="24"/>
        </w:rPr>
        <w:sectPr w:rsidR="00CA29F2">
          <w:pgSz w:w="11910" w:h="16850"/>
          <w:pgMar w:top="1140" w:right="280" w:bottom="280" w:left="620" w:header="720" w:footer="720" w:gutter="0"/>
          <w:cols w:space="720"/>
        </w:sectPr>
      </w:pPr>
    </w:p>
    <w:p w:rsidR="00CA29F2" w:rsidRDefault="001B1F90">
      <w:pPr>
        <w:pStyle w:val="Naslov1"/>
        <w:spacing w:before="64"/>
        <w:jc w:val="both"/>
      </w:pPr>
      <w:r>
        <w:lastRenderedPageBreak/>
        <w:t>Članak 3.</w:t>
      </w:r>
    </w:p>
    <w:p w:rsidR="00CA29F2" w:rsidRDefault="001B1F90">
      <w:pPr>
        <w:pStyle w:val="Tijeloteksta"/>
        <w:spacing w:before="2"/>
        <w:ind w:left="100" w:right="626"/>
      </w:pPr>
      <w:r>
        <w:t>Ovisno o ostvarenju proračunskih prihoda u 2019. godini Općinsko vijeće može smanjiti ili povećati opseg radova utvrđenih ovim Programom radi usklađenja opsega radova sa mogućnostima financiranja istih.</w:t>
      </w:r>
    </w:p>
    <w:p w:rsidR="00CA29F2" w:rsidRDefault="00CA29F2">
      <w:pPr>
        <w:pStyle w:val="Tijeloteksta"/>
        <w:rPr>
          <w:sz w:val="26"/>
        </w:rPr>
      </w:pPr>
    </w:p>
    <w:p w:rsidR="00CA29F2" w:rsidRDefault="00CA29F2">
      <w:pPr>
        <w:pStyle w:val="Tijeloteksta"/>
        <w:spacing w:before="7"/>
        <w:rPr>
          <w:sz w:val="21"/>
        </w:rPr>
      </w:pPr>
    </w:p>
    <w:p w:rsidR="00CA29F2" w:rsidRDefault="001B1F90">
      <w:pPr>
        <w:pStyle w:val="Naslov1"/>
        <w:jc w:val="both"/>
      </w:pPr>
      <w:r>
        <w:t>Članak 4.</w:t>
      </w:r>
    </w:p>
    <w:p w:rsidR="00CA29F2" w:rsidRDefault="001B1F90">
      <w:pPr>
        <w:pStyle w:val="Tijeloteksta"/>
        <w:spacing w:before="5"/>
        <w:ind w:left="100" w:right="435"/>
        <w:jc w:val="both"/>
      </w:pPr>
      <w:r>
        <w:t>Izmjene i dopune Programa održavanja objekata i uređaja komunalne infrastrukture objavit će se u Službenom</w:t>
      </w:r>
      <w:r>
        <w:rPr>
          <w:spacing w:val="-5"/>
        </w:rPr>
        <w:t xml:space="preserve"> </w:t>
      </w:r>
      <w:r>
        <w:t>glasniku</w:t>
      </w:r>
      <w:r>
        <w:rPr>
          <w:spacing w:val="-5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rPr>
          <w:spacing w:val="-4"/>
        </w:rPr>
        <w:t>Vuka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stranicama</w:t>
      </w:r>
      <w:r>
        <w:rPr>
          <w:spacing w:val="-5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rPr>
          <w:spacing w:val="-4"/>
        </w:rPr>
        <w:t>Vuka</w:t>
      </w:r>
      <w:r>
        <w:rPr>
          <w:spacing w:val="-9"/>
        </w:rPr>
        <w:t xml:space="preserve"> </w:t>
      </w:r>
      <w:hyperlink r:id="rId7">
        <w:r>
          <w:t>www.opcina-vuka.hr,</w:t>
        </w:r>
        <w:r>
          <w:rPr>
            <w:spacing w:val="-7"/>
          </w:rPr>
          <w:t xml:space="preserve"> </w:t>
        </w:r>
      </w:hyperlink>
      <w:r>
        <w:t>a</w:t>
      </w:r>
      <w:r>
        <w:rPr>
          <w:spacing w:val="-6"/>
        </w:rPr>
        <w:t xml:space="preserve"> </w:t>
      </w:r>
      <w:r>
        <w:t>stupaju na</w:t>
      </w:r>
      <w:r>
        <w:rPr>
          <w:spacing w:val="-7"/>
        </w:rPr>
        <w:t xml:space="preserve"> </w:t>
      </w:r>
      <w:r>
        <w:t>snagu osmog dana od dana objave u Službenom glasniku Općine</w:t>
      </w:r>
      <w:r>
        <w:rPr>
          <w:spacing w:val="-15"/>
        </w:rPr>
        <w:t xml:space="preserve"> </w:t>
      </w:r>
      <w:r>
        <w:rPr>
          <w:spacing w:val="-3"/>
        </w:rPr>
        <w:t>Vuka.</w:t>
      </w:r>
    </w:p>
    <w:p w:rsidR="00CA29F2" w:rsidRDefault="00CA29F2">
      <w:pPr>
        <w:pStyle w:val="Tijeloteksta"/>
        <w:rPr>
          <w:sz w:val="26"/>
        </w:rPr>
      </w:pPr>
    </w:p>
    <w:p w:rsidR="00CA29F2" w:rsidRDefault="00CA29F2">
      <w:pPr>
        <w:pStyle w:val="Tijeloteksta"/>
        <w:spacing w:before="7"/>
        <w:rPr>
          <w:sz w:val="21"/>
        </w:rPr>
      </w:pPr>
    </w:p>
    <w:p w:rsidR="00CA29F2" w:rsidRDefault="001B1F90">
      <w:pPr>
        <w:pStyle w:val="Tijeloteksta"/>
        <w:ind w:left="100"/>
      </w:pPr>
      <w:r>
        <w:t>KLASA:400-08/19-01/02</w:t>
      </w:r>
    </w:p>
    <w:p w:rsidR="00CA29F2" w:rsidRDefault="001B1F90">
      <w:pPr>
        <w:pStyle w:val="Tijeloteksta"/>
        <w:spacing w:before="2"/>
        <w:ind w:left="100"/>
      </w:pPr>
      <w:r>
        <w:t>URBROJ: 2158/06-01-19-</w:t>
      </w:r>
      <w:r w:rsidR="002C4D56">
        <w:t>31</w:t>
      </w:r>
      <w:bookmarkStart w:id="0" w:name="_GoBack"/>
      <w:bookmarkEnd w:id="0"/>
    </w:p>
    <w:p w:rsidR="00CA29F2" w:rsidRDefault="001B1F90">
      <w:pPr>
        <w:pStyle w:val="Tijeloteksta"/>
        <w:spacing w:before="1"/>
        <w:ind w:left="100"/>
      </w:pPr>
      <w:r>
        <w:t>U Vuki, 23. prosinca 2019. godine</w:t>
      </w:r>
    </w:p>
    <w:p w:rsidR="00CA29F2" w:rsidRDefault="00CA29F2">
      <w:pPr>
        <w:pStyle w:val="Tijeloteksta"/>
        <w:rPr>
          <w:sz w:val="26"/>
        </w:rPr>
      </w:pPr>
    </w:p>
    <w:p w:rsidR="00CA29F2" w:rsidRDefault="00CA29F2">
      <w:pPr>
        <w:pStyle w:val="Tijeloteksta"/>
        <w:rPr>
          <w:sz w:val="26"/>
        </w:rPr>
      </w:pPr>
    </w:p>
    <w:p w:rsidR="00CA29F2" w:rsidRDefault="001B1F90">
      <w:pPr>
        <w:pStyle w:val="Naslov1"/>
        <w:spacing w:before="230" w:line="275" w:lineRule="exact"/>
        <w:ind w:left="5489"/>
      </w:pPr>
      <w:r>
        <w:t>PREDSJEDNIK OPĆINSKOG VIJEĆA:</w:t>
      </w:r>
    </w:p>
    <w:p w:rsidR="00CA29F2" w:rsidRDefault="001B1F90">
      <w:pPr>
        <w:pStyle w:val="Tijeloteksta"/>
        <w:spacing w:line="275" w:lineRule="exact"/>
        <w:ind w:left="6665"/>
      </w:pPr>
      <w:r>
        <w:t>Stjepan Ribić</w:t>
      </w:r>
    </w:p>
    <w:sectPr w:rsidR="00CA29F2">
      <w:pgSz w:w="11920" w:h="16850"/>
      <w:pgMar w:top="1180" w:right="282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B1"/>
    <w:multiLevelType w:val="hybridMultilevel"/>
    <w:tmpl w:val="00FC08F8"/>
    <w:lvl w:ilvl="0" w:tplc="7C309B28">
      <w:numFmt w:val="bullet"/>
      <w:lvlText w:val=""/>
      <w:lvlJc w:val="left"/>
      <w:pPr>
        <w:ind w:left="11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B4EEC06A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2" w:tplc="32765314">
      <w:numFmt w:val="bullet"/>
      <w:lvlText w:val="•"/>
      <w:lvlJc w:val="left"/>
      <w:pPr>
        <w:ind w:left="3129" w:hanging="360"/>
      </w:pPr>
      <w:rPr>
        <w:rFonts w:hint="default"/>
        <w:lang w:val="hr-HR" w:eastAsia="hr-HR" w:bidi="hr-HR"/>
      </w:rPr>
    </w:lvl>
    <w:lvl w:ilvl="3" w:tplc="854C218E">
      <w:numFmt w:val="bullet"/>
      <w:lvlText w:val="•"/>
      <w:lvlJc w:val="left"/>
      <w:pPr>
        <w:ind w:left="4114" w:hanging="360"/>
      </w:pPr>
      <w:rPr>
        <w:rFonts w:hint="default"/>
        <w:lang w:val="hr-HR" w:eastAsia="hr-HR" w:bidi="hr-HR"/>
      </w:rPr>
    </w:lvl>
    <w:lvl w:ilvl="4" w:tplc="B55864EA">
      <w:numFmt w:val="bullet"/>
      <w:lvlText w:val="•"/>
      <w:lvlJc w:val="left"/>
      <w:pPr>
        <w:ind w:left="5099" w:hanging="360"/>
      </w:pPr>
      <w:rPr>
        <w:rFonts w:hint="default"/>
        <w:lang w:val="hr-HR" w:eastAsia="hr-HR" w:bidi="hr-HR"/>
      </w:rPr>
    </w:lvl>
    <w:lvl w:ilvl="5" w:tplc="ED7A0CE0">
      <w:numFmt w:val="bullet"/>
      <w:lvlText w:val="•"/>
      <w:lvlJc w:val="left"/>
      <w:pPr>
        <w:ind w:left="6084" w:hanging="360"/>
      </w:pPr>
      <w:rPr>
        <w:rFonts w:hint="default"/>
        <w:lang w:val="hr-HR" w:eastAsia="hr-HR" w:bidi="hr-HR"/>
      </w:rPr>
    </w:lvl>
    <w:lvl w:ilvl="6" w:tplc="311077CA">
      <w:numFmt w:val="bullet"/>
      <w:lvlText w:val="•"/>
      <w:lvlJc w:val="left"/>
      <w:pPr>
        <w:ind w:left="7069" w:hanging="360"/>
      </w:pPr>
      <w:rPr>
        <w:rFonts w:hint="default"/>
        <w:lang w:val="hr-HR" w:eastAsia="hr-HR" w:bidi="hr-HR"/>
      </w:rPr>
    </w:lvl>
    <w:lvl w:ilvl="7" w:tplc="F1BA1E30">
      <w:numFmt w:val="bullet"/>
      <w:lvlText w:val="•"/>
      <w:lvlJc w:val="left"/>
      <w:pPr>
        <w:ind w:left="8054" w:hanging="360"/>
      </w:pPr>
      <w:rPr>
        <w:rFonts w:hint="default"/>
        <w:lang w:val="hr-HR" w:eastAsia="hr-HR" w:bidi="hr-HR"/>
      </w:rPr>
    </w:lvl>
    <w:lvl w:ilvl="8" w:tplc="694ADBAA">
      <w:numFmt w:val="bullet"/>
      <w:lvlText w:val="•"/>
      <w:lvlJc w:val="left"/>
      <w:pPr>
        <w:ind w:left="9039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2"/>
    <w:rsid w:val="001B1F90"/>
    <w:rsid w:val="002C4D56"/>
    <w:rsid w:val="00C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419"/>
  <w15:docId w15:val="{7A02FB05-EE70-4979-A99C-A0272B3E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84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8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u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Msertić</cp:lastModifiedBy>
  <cp:revision>2</cp:revision>
  <dcterms:created xsi:type="dcterms:W3CDTF">2019-12-24T07:19:00Z</dcterms:created>
  <dcterms:modified xsi:type="dcterms:W3CDTF">2019-12-24T07:19:00Z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2019-12-21T00:00:00Z</vt:filetime>
  </property>
</Properties>
</file>