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94"/>
        <w:rPr>
          <w:sz w:val="20"/>
        </w:rPr>
      </w:pPr>
      <w:r>
        <w:rPr>
          <w:sz w:val="20"/>
        </w:rPr>
        <w:drawing>
          <wp:inline distT="0" distB="0" distL="0" distR="0">
            <wp:extent cx="256050" cy="315468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050" cy="315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"/>
        <w:rPr>
          <w:sz w:val="2"/>
        </w:rPr>
      </w:pPr>
    </w:p>
    <w:tbl>
      <w:tblPr>
        <w:tblW w:w="0" w:type="auto"/>
        <w:jc w:val="left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55"/>
      </w:tblGrid>
      <w:tr>
        <w:trPr>
          <w:trHeight w:val="234" w:hRule="atLeast"/>
        </w:trPr>
        <w:tc>
          <w:tcPr>
            <w:tcW w:w="3055" w:type="dxa"/>
          </w:tcPr>
          <w:p>
            <w:pPr>
              <w:pStyle w:val="TableParagraph"/>
              <w:spacing w:line="215" w:lineRule="exact" w:before="0"/>
              <w:ind w:left="488"/>
              <w:jc w:val="lef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REPUBLIKA HRVATSKA</w:t>
            </w:r>
          </w:p>
        </w:tc>
      </w:tr>
      <w:tr>
        <w:trPr>
          <w:trHeight w:val="574" w:hRule="atLeast"/>
        </w:trPr>
        <w:tc>
          <w:tcPr>
            <w:tcW w:w="3055" w:type="dxa"/>
          </w:tcPr>
          <w:p>
            <w:pPr>
              <w:pStyle w:val="TableParagraph"/>
              <w:ind w:left="1168" w:right="247" w:hanging="609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OSJEČKO BARANJSKA ŽUPANIJA</w:t>
            </w:r>
          </w:p>
        </w:tc>
      </w:tr>
      <w:tr>
        <w:trPr>
          <w:trHeight w:val="335" w:hRule="atLeast"/>
        </w:trPr>
        <w:tc>
          <w:tcPr>
            <w:tcW w:w="3055" w:type="dxa"/>
          </w:tcPr>
          <w:p>
            <w:pPr>
              <w:pStyle w:val="TableParagraph"/>
              <w:spacing w:line="213" w:lineRule="exact" w:before="102"/>
              <w:ind w:left="2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OPĆINA VUKA</w:t>
            </w:r>
          </w:p>
        </w:tc>
      </w:tr>
      <w:tr>
        <w:trPr>
          <w:trHeight w:val="224" w:hRule="atLeast"/>
        </w:trPr>
        <w:tc>
          <w:tcPr>
            <w:tcW w:w="3055" w:type="dxa"/>
          </w:tcPr>
          <w:p>
            <w:pPr>
              <w:pStyle w:val="TableParagraph"/>
              <w:spacing w:line="205" w:lineRule="exact" w:before="0"/>
              <w:ind w:left="200"/>
              <w:jc w:val="left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Općinsko vijeće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spacing w:line="242" w:lineRule="auto" w:before="90"/>
        <w:ind w:left="600" w:right="918"/>
        <w:jc w:val="both"/>
      </w:pPr>
      <w:r>
        <w:rPr/>
        <w:t>Temeljem članka 67. Zakona o komunalnom gospodarstvu (Narodne novine broj 68/18,110/18, 32/20) i članka Statuta Općine Vuka (Službeni glasnik Općine Vuka broj 01/14, 01/18, 01/20), Općinsko vijeće Općine Vuka na sjednici održanoj 28. svibnja 2020. godine, donosi</w:t>
      </w:r>
    </w:p>
    <w:p>
      <w:pPr>
        <w:pStyle w:val="BodyText"/>
        <w:spacing w:before="8"/>
      </w:pPr>
    </w:p>
    <w:p>
      <w:pPr>
        <w:pStyle w:val="Heading1"/>
        <w:ind w:left="3445"/>
      </w:pPr>
      <w:r>
        <w:rPr/>
        <w:t>I. IZMJENE I DOPUNE PROGRAMA</w:t>
      </w:r>
    </w:p>
    <w:p>
      <w:pPr>
        <w:spacing w:before="0"/>
        <w:ind w:left="3673" w:right="1928" w:hanging="2225"/>
        <w:jc w:val="left"/>
        <w:rPr>
          <w:b/>
          <w:sz w:val="24"/>
        </w:rPr>
      </w:pPr>
      <w:r>
        <w:rPr>
          <w:b/>
          <w:sz w:val="24"/>
        </w:rPr>
        <w:t>GRADNJE OBJEKATA I UREĐAJA KOMUNALNE INFRASTRUKTURE U OPĆINI VUKA ZA 2020. GODINU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"/>
        <w:rPr>
          <w:b/>
          <w:sz w:val="22"/>
        </w:rPr>
      </w:pPr>
    </w:p>
    <w:p>
      <w:pPr>
        <w:spacing w:before="0"/>
        <w:ind w:left="5341" w:right="0" w:firstLine="0"/>
        <w:jc w:val="left"/>
        <w:rPr>
          <w:b/>
          <w:sz w:val="24"/>
        </w:rPr>
      </w:pPr>
      <w:r>
        <w:rPr>
          <w:b/>
          <w:sz w:val="24"/>
        </w:rPr>
        <w:t>Članak 1.</w:t>
      </w:r>
    </w:p>
    <w:p>
      <w:pPr>
        <w:pStyle w:val="BodyText"/>
        <w:ind w:left="600" w:right="1273"/>
      </w:pPr>
      <w:r>
        <w:rPr/>
        <w:t>Ovim programom određuje se gradnja i projektiranje objekata i uređaja komunalne infrastrukture na području općine Vuka za razdoblje od 01. siječnja do 31. prosinca 2020. godine i to: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320" w:right="0" w:hanging="361"/>
        <w:jc w:val="left"/>
        <w:rPr>
          <w:sz w:val="24"/>
        </w:rPr>
      </w:pPr>
      <w:r>
        <w:rPr>
          <w:sz w:val="24"/>
        </w:rPr>
        <w:t>Izgradnja kanalizacijskog sustava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320" w:right="0" w:hanging="361"/>
        <w:jc w:val="left"/>
        <w:rPr>
          <w:sz w:val="24"/>
        </w:rPr>
      </w:pPr>
      <w:r>
        <w:rPr>
          <w:sz w:val="24"/>
        </w:rPr>
        <w:t>Sanacija i uređenje</w:t>
      </w:r>
      <w:r>
        <w:rPr>
          <w:spacing w:val="1"/>
          <w:sz w:val="24"/>
        </w:rPr>
        <w:t> </w:t>
      </w:r>
      <w:r>
        <w:rPr>
          <w:sz w:val="24"/>
        </w:rPr>
        <w:t>groblja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320" w:right="0" w:hanging="361"/>
        <w:jc w:val="left"/>
        <w:rPr>
          <w:sz w:val="24"/>
        </w:rPr>
      </w:pPr>
      <w:r>
        <w:rPr>
          <w:sz w:val="24"/>
        </w:rPr>
        <w:t>Rekonstrukcija i izgradnja pješačkih</w:t>
      </w:r>
      <w:r>
        <w:rPr>
          <w:spacing w:val="2"/>
          <w:sz w:val="24"/>
        </w:rPr>
        <w:t> </w:t>
      </w:r>
      <w:r>
        <w:rPr>
          <w:sz w:val="24"/>
        </w:rPr>
        <w:t>staza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320" w:right="0" w:hanging="361"/>
        <w:jc w:val="left"/>
        <w:rPr>
          <w:sz w:val="24"/>
        </w:rPr>
      </w:pPr>
      <w:r>
        <w:rPr>
          <w:sz w:val="24"/>
        </w:rPr>
        <w:t>Izgradnja nadstrešnice kod kapelice u Lipovcu</w:t>
      </w:r>
      <w:r>
        <w:rPr>
          <w:spacing w:val="3"/>
          <w:sz w:val="24"/>
        </w:rPr>
        <w:t> </w:t>
      </w:r>
      <w:r>
        <w:rPr>
          <w:sz w:val="24"/>
        </w:rPr>
        <w:t>Hrastinskom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320" w:right="0" w:hanging="361"/>
        <w:jc w:val="left"/>
        <w:rPr>
          <w:sz w:val="24"/>
        </w:rPr>
      </w:pPr>
      <w:r>
        <w:rPr>
          <w:sz w:val="24"/>
        </w:rPr>
        <w:t>Energetska obnova općinske</w:t>
      </w:r>
      <w:r>
        <w:rPr>
          <w:spacing w:val="1"/>
          <w:sz w:val="24"/>
        </w:rPr>
        <w:t> </w:t>
      </w:r>
      <w:r>
        <w:rPr>
          <w:sz w:val="24"/>
        </w:rPr>
        <w:t>zgrade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1" w:after="0"/>
        <w:ind w:left="1320" w:right="0" w:hanging="361"/>
        <w:jc w:val="left"/>
        <w:rPr>
          <w:sz w:val="24"/>
        </w:rPr>
      </w:pPr>
      <w:r>
        <w:rPr>
          <w:sz w:val="24"/>
        </w:rPr>
        <w:t>Rekonstrukcija nerazvrstane ceste</w:t>
      </w:r>
      <w:r>
        <w:rPr>
          <w:spacing w:val="3"/>
          <w:sz w:val="24"/>
        </w:rPr>
        <w:t> </w:t>
      </w:r>
      <w:r>
        <w:rPr>
          <w:sz w:val="24"/>
        </w:rPr>
        <w:t>Hrastovac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320" w:right="0" w:hanging="361"/>
        <w:jc w:val="left"/>
        <w:rPr>
          <w:sz w:val="24"/>
        </w:rPr>
      </w:pPr>
      <w:r>
        <w:rPr>
          <w:sz w:val="24"/>
        </w:rPr>
        <w:t>Rekonstrukcija nerazvrstane ceste Milke</w:t>
      </w:r>
      <w:r>
        <w:rPr>
          <w:spacing w:val="-3"/>
          <w:sz w:val="24"/>
        </w:rPr>
        <w:t> </w:t>
      </w:r>
      <w:r>
        <w:rPr>
          <w:sz w:val="24"/>
        </w:rPr>
        <w:t>Cepelića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0" w:after="0"/>
        <w:ind w:left="1320" w:right="0" w:hanging="361"/>
        <w:jc w:val="left"/>
        <w:rPr>
          <w:sz w:val="24"/>
        </w:rPr>
      </w:pPr>
      <w:r>
        <w:rPr>
          <w:sz w:val="24"/>
        </w:rPr>
        <w:t>Izgradnja višenamjenske</w:t>
      </w:r>
      <w:r>
        <w:rPr>
          <w:spacing w:val="1"/>
          <w:sz w:val="24"/>
        </w:rPr>
        <w:t> </w:t>
      </w:r>
      <w:r>
        <w:rPr>
          <w:sz w:val="24"/>
        </w:rPr>
        <w:t>zgrade</w:t>
      </w:r>
    </w:p>
    <w:p>
      <w:pPr>
        <w:pStyle w:val="ListParagraph"/>
        <w:numPr>
          <w:ilvl w:val="0"/>
          <w:numId w:val="1"/>
        </w:numPr>
        <w:tabs>
          <w:tab w:pos="1321" w:val="left" w:leader="none"/>
        </w:tabs>
        <w:spacing w:line="240" w:lineRule="auto" w:before="4" w:after="0"/>
        <w:ind w:left="1320" w:right="0" w:hanging="361"/>
        <w:jc w:val="left"/>
        <w:rPr>
          <w:sz w:val="24"/>
        </w:rPr>
      </w:pPr>
      <w:r>
        <w:rPr>
          <w:sz w:val="24"/>
        </w:rPr>
        <w:t>Izgradnja mosta preko Vuke i pristupne</w:t>
      </w:r>
      <w:r>
        <w:rPr>
          <w:spacing w:val="-5"/>
          <w:sz w:val="24"/>
        </w:rPr>
        <w:t> </w:t>
      </w:r>
      <w:r>
        <w:rPr>
          <w:sz w:val="24"/>
        </w:rPr>
        <w:t>ceste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00" w:right="445"/>
        <w:jc w:val="both"/>
      </w:pPr>
      <w:r>
        <w:rPr/>
        <w:t>Za izgradnju kanalizacijskog sustava predviđena su sredstva u iznosu od 50.000,00 kn. Navedeni se izdatak odnosi</w:t>
      </w:r>
      <w:r>
        <w:rPr>
          <w:spacing w:val="-15"/>
        </w:rPr>
        <w:t> </w:t>
      </w:r>
      <w:r>
        <w:rPr/>
        <w:t>na</w:t>
      </w:r>
      <w:r>
        <w:rPr>
          <w:spacing w:val="-14"/>
        </w:rPr>
        <w:t> </w:t>
      </w:r>
      <w:r>
        <w:rPr/>
        <w:t>sufinanciranje</w:t>
      </w:r>
      <w:r>
        <w:rPr>
          <w:spacing w:val="-19"/>
        </w:rPr>
        <w:t> </w:t>
      </w:r>
      <w:r>
        <w:rPr/>
        <w:t>izrade</w:t>
      </w:r>
      <w:r>
        <w:rPr>
          <w:spacing w:val="-14"/>
        </w:rPr>
        <w:t> </w:t>
      </w:r>
      <w:r>
        <w:rPr/>
        <w:t>projektne</w:t>
      </w:r>
      <w:r>
        <w:rPr>
          <w:spacing w:val="-15"/>
        </w:rPr>
        <w:t> </w:t>
      </w:r>
      <w:r>
        <w:rPr/>
        <w:t>dokumentacije</w:t>
      </w:r>
      <w:r>
        <w:rPr>
          <w:spacing w:val="-14"/>
        </w:rPr>
        <w:t> </w:t>
      </w:r>
      <w:r>
        <w:rPr/>
        <w:t>trgovačkom</w:t>
      </w:r>
      <w:r>
        <w:rPr>
          <w:spacing w:val="-15"/>
        </w:rPr>
        <w:t> </w:t>
      </w:r>
      <w:r>
        <w:rPr/>
        <w:t>poduzeću</w:t>
      </w:r>
      <w:r>
        <w:rPr>
          <w:spacing w:val="-15"/>
        </w:rPr>
        <w:t> </w:t>
      </w:r>
      <w:r>
        <w:rPr/>
        <w:t>Vodovod</w:t>
      </w:r>
      <w:r>
        <w:rPr>
          <w:spacing w:val="-15"/>
        </w:rPr>
        <w:t> </w:t>
      </w:r>
      <w:r>
        <w:rPr/>
        <w:t>Osijek</w:t>
      </w:r>
      <w:r>
        <w:rPr>
          <w:spacing w:val="-16"/>
        </w:rPr>
        <w:t> </w:t>
      </w:r>
      <w:r>
        <w:rPr/>
        <w:t>d.o.o.</w:t>
      </w:r>
      <w:r>
        <w:rPr>
          <w:spacing w:val="-15"/>
        </w:rPr>
        <w:t> </w:t>
      </w:r>
      <w:r>
        <w:rPr/>
        <w:t>u</w:t>
      </w:r>
      <w:r>
        <w:rPr>
          <w:spacing w:val="-20"/>
        </w:rPr>
        <w:t> </w:t>
      </w:r>
      <w:r>
        <w:rPr/>
        <w:t>čijem će vlasništvu navedena infrastruktura odnosno investicija i</w:t>
      </w:r>
      <w:r>
        <w:rPr>
          <w:spacing w:val="2"/>
        </w:rPr>
        <w:t> </w:t>
      </w:r>
      <w:r>
        <w:rPr/>
        <w:t>biti.</w:t>
      </w:r>
    </w:p>
    <w:p>
      <w:pPr>
        <w:pStyle w:val="BodyText"/>
      </w:pPr>
    </w:p>
    <w:p>
      <w:pPr>
        <w:pStyle w:val="BodyText"/>
        <w:spacing w:before="1"/>
        <w:ind w:left="600" w:right="446"/>
        <w:jc w:val="both"/>
      </w:pPr>
      <w:r>
        <w:rPr/>
        <w:t>Za sanaciju i uređenje groblja planirana su sredstva u iznosu od 500.000,00 kn. Navedenim se sredstvima planira izgradnja nogostupa na groblju površine 350m</w:t>
      </w:r>
      <w:r>
        <w:rPr>
          <w:vertAlign w:val="superscript"/>
        </w:rPr>
        <w:t>2</w:t>
      </w:r>
      <w:r>
        <w:rPr>
          <w:vertAlign w:val="baseline"/>
        </w:rPr>
        <w:t>i postavljanje ograde u dužni od 250 m.</w:t>
      </w:r>
    </w:p>
    <w:p>
      <w:pPr>
        <w:pStyle w:val="BodyText"/>
      </w:pPr>
    </w:p>
    <w:p>
      <w:pPr>
        <w:pStyle w:val="BodyText"/>
        <w:ind w:left="600" w:right="438"/>
        <w:jc w:val="both"/>
      </w:pPr>
      <w:r>
        <w:rPr/>
        <w:t>Za rekonstrukciju i izgradnju pješačkih staza u 2020. godini planirana su sredstva u iznosu od 3.000.000,00 kn. Navedenim iznosom planira se sanacija pješačkih staza na području Općine Vuka, ukupne duljine oko 4 km.</w:t>
      </w:r>
    </w:p>
    <w:p>
      <w:pPr>
        <w:pStyle w:val="BodyText"/>
      </w:pPr>
    </w:p>
    <w:p>
      <w:pPr>
        <w:pStyle w:val="BodyText"/>
        <w:ind w:left="600" w:right="447"/>
        <w:jc w:val="both"/>
      </w:pPr>
      <w:r>
        <w:rPr/>
        <w:t>Za</w:t>
      </w:r>
      <w:r>
        <w:rPr>
          <w:spacing w:val="-4"/>
        </w:rPr>
        <w:t> </w:t>
      </w:r>
      <w:r>
        <w:rPr/>
        <w:t>izgradnju</w:t>
      </w:r>
      <w:r>
        <w:rPr>
          <w:spacing w:val="-5"/>
        </w:rPr>
        <w:t> </w:t>
      </w:r>
      <w:r>
        <w:rPr/>
        <w:t>nadstrešnice</w:t>
      </w:r>
      <w:r>
        <w:rPr>
          <w:spacing w:val="-4"/>
        </w:rPr>
        <w:t> </w:t>
      </w:r>
      <w:r>
        <w:rPr/>
        <w:t>kod</w:t>
      </w:r>
      <w:r>
        <w:rPr>
          <w:spacing w:val="-5"/>
        </w:rPr>
        <w:t> </w:t>
      </w:r>
      <w:r>
        <w:rPr/>
        <w:t>kapelice</w:t>
      </w:r>
      <w:r>
        <w:rPr>
          <w:spacing w:val="-4"/>
        </w:rPr>
        <w:t> </w:t>
      </w:r>
      <w:r>
        <w:rPr/>
        <w:t>u</w:t>
      </w:r>
      <w:r>
        <w:rPr>
          <w:spacing w:val="-5"/>
        </w:rPr>
        <w:t> </w:t>
      </w:r>
      <w:r>
        <w:rPr/>
        <w:t>Lipovcu</w:t>
      </w:r>
      <w:r>
        <w:rPr>
          <w:spacing w:val="-5"/>
        </w:rPr>
        <w:t> </w:t>
      </w:r>
      <w:r>
        <w:rPr/>
        <w:t>Hrastinskom</w:t>
      </w:r>
      <w:r>
        <w:rPr>
          <w:spacing w:val="-5"/>
        </w:rPr>
        <w:t> </w:t>
      </w:r>
      <w:r>
        <w:rPr/>
        <w:t>predviđena</w:t>
      </w:r>
      <w:r>
        <w:rPr>
          <w:spacing w:val="-3"/>
        </w:rPr>
        <w:t> </w:t>
      </w:r>
      <w:r>
        <w:rPr/>
        <w:t>su</w:t>
      </w:r>
      <w:r>
        <w:rPr>
          <w:spacing w:val="-6"/>
        </w:rPr>
        <w:t> </w:t>
      </w:r>
      <w:r>
        <w:rPr/>
        <w:t>sredstva</w:t>
      </w:r>
      <w:r>
        <w:rPr>
          <w:spacing w:val="-3"/>
        </w:rPr>
        <w:t> </w:t>
      </w:r>
      <w:r>
        <w:rPr/>
        <w:t>u</w:t>
      </w:r>
      <w:r>
        <w:rPr>
          <w:spacing w:val="-5"/>
        </w:rPr>
        <w:t> </w:t>
      </w:r>
      <w:r>
        <w:rPr/>
        <w:t>iznosu</w:t>
      </w:r>
      <w:r>
        <w:rPr>
          <w:spacing w:val="-6"/>
        </w:rPr>
        <w:t> </w:t>
      </w:r>
      <w:r>
        <w:rPr/>
        <w:t>od</w:t>
      </w:r>
      <w:r>
        <w:rPr>
          <w:spacing w:val="-5"/>
        </w:rPr>
        <w:t> </w:t>
      </w:r>
      <w:r>
        <w:rPr/>
        <w:t>50.000,00 kn, čime će se omogućiti sklanjanje ljudi od sunca ili</w:t>
      </w:r>
      <w:r>
        <w:rPr>
          <w:spacing w:val="-2"/>
        </w:rPr>
        <w:t> </w:t>
      </w:r>
      <w:r>
        <w:rPr/>
        <w:t>padalina.</w:t>
      </w:r>
    </w:p>
    <w:p>
      <w:pPr>
        <w:pStyle w:val="BodyText"/>
      </w:pPr>
    </w:p>
    <w:p>
      <w:pPr>
        <w:pStyle w:val="BodyText"/>
        <w:ind w:left="600" w:right="437"/>
        <w:jc w:val="both"/>
      </w:pPr>
      <w:r>
        <w:rPr/>
        <w:t>Planom u 2020. godini predviđena su sredstva za energetsku obnovu općinske zgrade. Radovi koji su predviđeni energetskom obnovom su sanacija krovišta, toplinska izolacija, unaprjeđenje sustava grijanja, zamjena</w:t>
      </w:r>
      <w:r>
        <w:rPr>
          <w:spacing w:val="-4"/>
        </w:rPr>
        <w:t> </w:t>
      </w:r>
      <w:r>
        <w:rPr/>
        <w:t>postojeće</w:t>
      </w:r>
      <w:r>
        <w:rPr>
          <w:spacing w:val="-4"/>
        </w:rPr>
        <w:t> </w:t>
      </w:r>
      <w:r>
        <w:rPr/>
        <w:t>stolarije,</w:t>
      </w:r>
      <w:r>
        <w:rPr>
          <w:spacing w:val="-5"/>
        </w:rPr>
        <w:t> </w:t>
      </w:r>
      <w:r>
        <w:rPr/>
        <w:t>hidroizolacija.</w:t>
      </w:r>
      <w:r>
        <w:rPr>
          <w:spacing w:val="-10"/>
        </w:rPr>
        <w:t> </w:t>
      </w:r>
      <w:r>
        <w:rPr/>
        <w:t>Iznos</w:t>
      </w:r>
      <w:r>
        <w:rPr>
          <w:spacing w:val="-6"/>
        </w:rPr>
        <w:t> </w:t>
      </w:r>
      <w:r>
        <w:rPr/>
        <w:t>od</w:t>
      </w:r>
      <w:r>
        <w:rPr>
          <w:spacing w:val="-6"/>
        </w:rPr>
        <w:t> </w:t>
      </w:r>
      <w:r>
        <w:rPr/>
        <w:t>20.000,00</w:t>
      </w:r>
      <w:r>
        <w:rPr>
          <w:spacing w:val="-1"/>
        </w:rPr>
        <w:t> </w:t>
      </w:r>
      <w:r>
        <w:rPr/>
        <w:t>kn</w:t>
      </w:r>
      <w:r>
        <w:rPr>
          <w:spacing w:val="-6"/>
        </w:rPr>
        <w:t> </w:t>
      </w:r>
      <w:r>
        <w:rPr/>
        <w:t>planira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utrošiti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promidžbu</w:t>
      </w:r>
      <w:r>
        <w:rPr>
          <w:spacing w:val="-6"/>
        </w:rPr>
        <w:t> </w:t>
      </w:r>
      <w:r>
        <w:rPr/>
        <w:t>i</w:t>
      </w:r>
      <w:r>
        <w:rPr>
          <w:spacing w:val="-4"/>
        </w:rPr>
        <w:t> </w:t>
      </w:r>
      <w:r>
        <w:rPr/>
        <w:t>vidljivost projekta, 25.000,00 kn planira se utrošiti na stručni nadzor, 30.000,00 kn planira se utrošiti </w:t>
      </w:r>
      <w:r>
        <w:rPr>
          <w:spacing w:val="-3"/>
        </w:rPr>
        <w:t>na </w:t>
      </w:r>
      <w:r>
        <w:rPr/>
        <w:t>upravljanje projektom i administrativnim poslovima, 10.000,00 kn na provedbu postupka javne nabave, 12.200,00 kn </w:t>
      </w:r>
      <w:r>
        <w:rPr>
          <w:spacing w:val="-3"/>
        </w:rPr>
        <w:t>na </w:t>
      </w:r>
      <w:r>
        <w:rPr/>
        <w:t>energetski pregled i certifikat, te preostali iznos od 902.800,00 kn na provedbu radova energetske</w:t>
      </w:r>
      <w:r>
        <w:rPr>
          <w:spacing w:val="-14"/>
        </w:rPr>
        <w:t> </w:t>
      </w:r>
      <w:r>
        <w:rPr/>
        <w:t>obnove.</w:t>
      </w:r>
    </w:p>
    <w:p>
      <w:pPr>
        <w:spacing w:after="0"/>
        <w:jc w:val="both"/>
        <w:sectPr>
          <w:type w:val="continuous"/>
          <w:pgSz w:w="11920" w:h="16840"/>
          <w:pgMar w:top="720" w:bottom="280" w:left="120" w:right="283"/>
        </w:sectPr>
      </w:pPr>
    </w:p>
    <w:p>
      <w:pPr>
        <w:pStyle w:val="BodyText"/>
        <w:spacing w:before="76"/>
        <w:ind w:left="600" w:right="452"/>
        <w:jc w:val="both"/>
      </w:pPr>
      <w:r>
        <w:rPr/>
        <w:t>Za rekonstrukciju nerazvrstane ceste u Hrastovcu planirana su sredstva u iznosu od 500.000,00 kn. Navedenom se investicijom planira rekonstrukcija ceste u duljini od 230 m, na k.č.br. 935, k.o. Vuka.</w:t>
      </w:r>
    </w:p>
    <w:p>
      <w:pPr>
        <w:pStyle w:val="BodyText"/>
      </w:pPr>
    </w:p>
    <w:p>
      <w:pPr>
        <w:pStyle w:val="BodyText"/>
        <w:ind w:left="600" w:right="437"/>
        <w:jc w:val="both"/>
      </w:pPr>
      <w:r>
        <w:rPr/>
        <w:t>Jedan</w:t>
      </w:r>
      <w:r>
        <w:rPr>
          <w:spacing w:val="-8"/>
        </w:rPr>
        <w:t> </w:t>
      </w:r>
      <w:r>
        <w:rPr/>
        <w:t>od</w:t>
      </w:r>
      <w:r>
        <w:rPr>
          <w:spacing w:val="-7"/>
        </w:rPr>
        <w:t> </w:t>
      </w:r>
      <w:r>
        <w:rPr/>
        <w:t>dugogodišnjih</w:t>
      </w:r>
      <w:r>
        <w:rPr>
          <w:spacing w:val="-5"/>
        </w:rPr>
        <w:t> </w:t>
      </w:r>
      <w:r>
        <w:rPr/>
        <w:t>projekata</w:t>
      </w:r>
      <w:r>
        <w:rPr>
          <w:spacing w:val="-5"/>
        </w:rPr>
        <w:t> </w:t>
      </w:r>
      <w:r>
        <w:rPr/>
        <w:t>općine</w:t>
      </w:r>
      <w:r>
        <w:rPr>
          <w:spacing w:val="-9"/>
        </w:rPr>
        <w:t> </w:t>
      </w:r>
      <w:r>
        <w:rPr/>
        <w:t>je</w:t>
      </w:r>
      <w:r>
        <w:rPr>
          <w:spacing w:val="-6"/>
        </w:rPr>
        <w:t> </w:t>
      </w:r>
      <w:r>
        <w:rPr/>
        <w:t>izgradnja</w:t>
      </w:r>
      <w:r>
        <w:rPr>
          <w:spacing w:val="-5"/>
        </w:rPr>
        <w:t> </w:t>
      </w:r>
      <w:r>
        <w:rPr/>
        <w:t>višenamjenske</w:t>
      </w:r>
      <w:r>
        <w:rPr>
          <w:spacing w:val="-5"/>
        </w:rPr>
        <w:t> </w:t>
      </w:r>
      <w:r>
        <w:rPr/>
        <w:t>zgrade.</w:t>
      </w:r>
      <w:r>
        <w:rPr>
          <w:spacing w:val="-8"/>
        </w:rPr>
        <w:t> </w:t>
      </w:r>
      <w:r>
        <w:rPr/>
        <w:t>Cilj</w:t>
      </w:r>
      <w:r>
        <w:rPr>
          <w:spacing w:val="-6"/>
        </w:rPr>
        <w:t> </w:t>
      </w:r>
      <w:r>
        <w:rPr/>
        <w:t>ovog</w:t>
      </w:r>
      <w:r>
        <w:rPr>
          <w:spacing w:val="-7"/>
        </w:rPr>
        <w:t> </w:t>
      </w:r>
      <w:r>
        <w:rPr/>
        <w:t>projekata</w:t>
      </w:r>
      <w:r>
        <w:rPr>
          <w:spacing w:val="-6"/>
        </w:rPr>
        <w:t> </w:t>
      </w:r>
      <w:r>
        <w:rPr/>
        <w:t>je</w:t>
      </w:r>
      <w:r>
        <w:rPr>
          <w:spacing w:val="-5"/>
        </w:rPr>
        <w:t> </w:t>
      </w:r>
      <w:r>
        <w:rPr/>
        <w:t>omogućiti adekvatan prostor za smještaj općinske uprave, ambulante, ljekarne, te predškolskog odgoja. U 2020. godini planirana su sredstva za izradu projektne dokumentacije u iznosu od 250.000,00</w:t>
      </w:r>
      <w:r>
        <w:rPr>
          <w:spacing w:val="4"/>
        </w:rPr>
        <w:t> </w:t>
      </w:r>
      <w:r>
        <w:rPr/>
        <w:t>kn.</w:t>
      </w:r>
    </w:p>
    <w:p>
      <w:pPr>
        <w:pStyle w:val="BodyText"/>
        <w:spacing w:before="1"/>
      </w:pPr>
    </w:p>
    <w:p>
      <w:pPr>
        <w:pStyle w:val="BodyText"/>
        <w:ind w:left="600" w:right="441"/>
        <w:jc w:val="both"/>
      </w:pPr>
      <w:r>
        <w:rPr/>
        <w:t>Za izradu projektne dokumentacije rekonstrukcije nerazvrstane ceste Milke Cepelića k.č.br. 966 (od općine do škole) predviđena su sredstva u iznosu od 70.000,00 kn.</w:t>
      </w:r>
    </w:p>
    <w:p>
      <w:pPr>
        <w:pStyle w:val="BodyText"/>
      </w:pPr>
    </w:p>
    <w:p>
      <w:pPr>
        <w:pStyle w:val="BodyText"/>
        <w:ind w:left="600" w:right="433"/>
        <w:jc w:val="both"/>
      </w:pPr>
      <w:r>
        <w:rPr/>
        <w:t>U 2020. godini planira se i izgradnja pristupne ceste i mosta preko rijeke Vuke, u iznosu od 2.500.000,00 kn, kroz Mjere Programa ruralnog razvoja.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902" w:val="left" w:leader="none"/>
        </w:tabs>
        <w:spacing w:line="240" w:lineRule="auto" w:before="0" w:after="0"/>
        <w:ind w:left="668" w:right="439" w:firstLine="0"/>
        <w:jc w:val="both"/>
        <w:rPr>
          <w:sz w:val="24"/>
        </w:rPr>
      </w:pPr>
      <w:r>
        <w:rPr>
          <w:sz w:val="24"/>
        </w:rPr>
        <w:t>zmjenama i dopunama Proračuna za 2020. godinu, ne planira se izgradnja lokalnih parkirališta, s obzirom da je planirana investicija završena u 2019. godini.</w:t>
      </w:r>
    </w:p>
    <w:p>
      <w:pPr>
        <w:pStyle w:val="BodyText"/>
        <w:rPr>
          <w:sz w:val="26"/>
        </w:rPr>
      </w:pPr>
    </w:p>
    <w:p>
      <w:pPr>
        <w:pStyle w:val="Heading1"/>
        <w:spacing w:before="234"/>
        <w:ind w:left="5341"/>
      </w:pPr>
      <w:r>
        <w:rPr/>
        <w:t>Članak 2.</w:t>
      </w:r>
    </w:p>
    <w:p>
      <w:pPr>
        <w:pStyle w:val="BodyText"/>
        <w:ind w:left="600" w:right="445"/>
        <w:jc w:val="both"/>
      </w:pPr>
      <w:r>
        <w:rPr/>
        <w:t>Planirana</w:t>
      </w:r>
      <w:r>
        <w:rPr>
          <w:spacing w:val="-10"/>
        </w:rPr>
        <w:t> </w:t>
      </w:r>
      <w:r>
        <w:rPr/>
        <w:t>sredstva</w:t>
      </w:r>
      <w:r>
        <w:rPr>
          <w:spacing w:val="-10"/>
        </w:rPr>
        <w:t> </w:t>
      </w:r>
      <w:r>
        <w:rPr/>
        <w:t>za</w:t>
      </w:r>
      <w:r>
        <w:rPr>
          <w:spacing w:val="-5"/>
        </w:rPr>
        <w:t> </w:t>
      </w:r>
      <w:r>
        <w:rPr/>
        <w:t>provedbu</w:t>
      </w:r>
      <w:r>
        <w:rPr>
          <w:spacing w:val="-8"/>
        </w:rPr>
        <w:t> </w:t>
      </w:r>
      <w:r>
        <w:rPr/>
        <w:t>Programa</w:t>
      </w:r>
      <w:r>
        <w:rPr>
          <w:spacing w:val="-6"/>
        </w:rPr>
        <w:t> </w:t>
      </w:r>
      <w:r>
        <w:rPr/>
        <w:t>izgradnje</w:t>
      </w:r>
      <w:r>
        <w:rPr>
          <w:spacing w:val="-10"/>
        </w:rPr>
        <w:t> </w:t>
      </w:r>
      <w:r>
        <w:rPr/>
        <w:t>objekata</w:t>
      </w:r>
      <w:r>
        <w:rPr>
          <w:spacing w:val="-5"/>
        </w:rPr>
        <w:t> </w:t>
      </w:r>
      <w:r>
        <w:rPr/>
        <w:t>i</w:t>
      </w:r>
      <w:r>
        <w:rPr>
          <w:spacing w:val="-7"/>
        </w:rPr>
        <w:t> </w:t>
      </w:r>
      <w:r>
        <w:rPr/>
        <w:t>uređaja</w:t>
      </w:r>
      <w:r>
        <w:rPr>
          <w:spacing w:val="-6"/>
        </w:rPr>
        <w:t> </w:t>
      </w:r>
      <w:r>
        <w:rPr/>
        <w:t>komunalne</w:t>
      </w:r>
      <w:r>
        <w:rPr>
          <w:spacing w:val="-6"/>
        </w:rPr>
        <w:t> </w:t>
      </w:r>
      <w:r>
        <w:rPr/>
        <w:t>infrastrukture</w:t>
      </w:r>
      <w:r>
        <w:rPr>
          <w:spacing w:val="-9"/>
        </w:rPr>
        <w:t> </w:t>
      </w:r>
      <w:r>
        <w:rPr/>
        <w:t>iz</w:t>
      </w:r>
      <w:r>
        <w:rPr>
          <w:spacing w:val="-6"/>
        </w:rPr>
        <w:t> </w:t>
      </w:r>
      <w:r>
        <w:rPr/>
        <w:t>Općinskog proračuna za 2019. godinu iznose kako</w:t>
      </w:r>
      <w:r>
        <w:rPr>
          <w:spacing w:val="-7"/>
        </w:rPr>
        <w:t> </w:t>
      </w:r>
      <w:r>
        <w:rPr/>
        <w:t>slijedi:</w:t>
      </w:r>
    </w:p>
    <w:p>
      <w:pPr>
        <w:spacing w:after="0"/>
        <w:jc w:val="both"/>
        <w:sectPr>
          <w:pgSz w:w="11920" w:h="16840"/>
          <w:pgMar w:top="1320" w:bottom="280" w:left="120" w:right="283"/>
        </w:sectPr>
      </w:pPr>
    </w:p>
    <w:p>
      <w:pPr>
        <w:spacing w:before="81"/>
        <w:ind w:left="1771" w:right="0" w:firstLine="0"/>
        <w:jc w:val="left"/>
        <w:rPr>
          <w:rFonts w:ascii="Arial"/>
          <w:b/>
          <w:sz w:val="18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588657</wp:posOffset>
            </wp:positionH>
            <wp:positionV relativeFrom="paragraph">
              <wp:posOffset>65568</wp:posOffset>
            </wp:positionV>
            <wp:extent cx="524205" cy="66521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05" cy="6652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18"/>
        </w:rPr>
        <w:t>REPUBLIKA HRVATSKA</w:t>
      </w:r>
    </w:p>
    <w:p>
      <w:pPr>
        <w:spacing w:before="50"/>
        <w:ind w:left="177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OSJEČKO-BARANJSKA ŽUPANIJA</w:t>
      </w:r>
    </w:p>
    <w:p>
      <w:pPr>
        <w:spacing w:before="53"/>
        <w:ind w:left="1773" w:right="0" w:firstLine="0"/>
        <w:jc w:val="left"/>
        <w:rPr>
          <w:rFonts w:ascii="Arial" w:hAnsi="Arial"/>
          <w:b/>
          <w:sz w:val="22"/>
        </w:rPr>
      </w:pPr>
      <w:r>
        <w:rPr/>
        <w:pict>
          <v:rect style="position:absolute;margin-left:93.834pt;margin-top:18.707701pt;width:202.12pt;height:.12019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Arial" w:hAnsi="Arial"/>
          <w:b/>
          <w:sz w:val="22"/>
        </w:rPr>
        <w:t>OPĆINA VUKA</w:t>
      </w:r>
    </w:p>
    <w:p>
      <w:pPr>
        <w:spacing w:before="36"/>
        <w:ind w:left="177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JEDINSTVENI UPRAVNI ODJEL</w:t>
      </w:r>
    </w:p>
    <w:p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jc w:val="left"/>
        <w:tblInd w:w="7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8"/>
        <w:gridCol w:w="402"/>
        <w:gridCol w:w="4051"/>
        <w:gridCol w:w="1811"/>
        <w:gridCol w:w="1809"/>
        <w:gridCol w:w="1842"/>
      </w:tblGrid>
      <w:tr>
        <w:trPr>
          <w:trHeight w:val="828" w:hRule="atLeast"/>
        </w:trPr>
        <w:tc>
          <w:tcPr>
            <w:tcW w:w="10653" w:type="dxa"/>
            <w:gridSpan w:val="6"/>
            <w:tcBorders>
              <w:left w:val="nil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64"/>
              <w:ind w:left="645"/>
              <w:jc w:val="lef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IZMJENE I DOPUNE PRORAČUNA OPĆINE VUKA ZA 2020. GODINU</w:t>
            </w:r>
          </w:p>
          <w:p>
            <w:pPr>
              <w:pStyle w:val="TableParagraph"/>
              <w:spacing w:before="75"/>
              <w:ind w:left="1170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IZGRADNJE OBJEKATA I UREĐAJA KOMUNALNE INFRASTRUKTURE</w:t>
            </w:r>
          </w:p>
        </w:tc>
      </w:tr>
      <w:tr>
        <w:trPr>
          <w:trHeight w:val="835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0"/>
              <w:ind w:left="234" w:right="209"/>
              <w:jc w:val="center"/>
              <w:rPr>
                <w:sz w:val="20"/>
              </w:rPr>
            </w:pPr>
            <w:r>
              <w:rPr>
                <w:sz w:val="20"/>
              </w:rPr>
              <w:t>Račun/</w:t>
            </w:r>
          </w:p>
          <w:p>
            <w:pPr>
              <w:pStyle w:val="TableParagraph"/>
              <w:spacing w:line="241" w:lineRule="exact" w:before="0"/>
              <w:ind w:left="235" w:right="209"/>
              <w:jc w:val="center"/>
              <w:rPr>
                <w:sz w:val="20"/>
              </w:rPr>
            </w:pPr>
            <w:r>
              <w:rPr>
                <w:sz w:val="20"/>
              </w:rPr>
              <w:t>Pozicija</w:t>
            </w:r>
          </w:p>
          <w:p>
            <w:pPr>
              <w:pStyle w:val="TableParagraph"/>
              <w:spacing w:before="86"/>
              <w:ind w:left="185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1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0"/>
              <w:ind w:left="1820" w:right="1797"/>
              <w:jc w:val="center"/>
              <w:rPr>
                <w:sz w:val="20"/>
              </w:rPr>
            </w:pPr>
            <w:r>
              <w:rPr>
                <w:sz w:val="20"/>
              </w:rPr>
              <w:t>Opis</w:t>
            </w:r>
          </w:p>
          <w:p>
            <w:pPr>
              <w:pStyle w:val="TableParagraph"/>
              <w:jc w:val="left"/>
              <w:rPr>
                <w:rFonts w:ascii="Arial"/>
                <w:b/>
                <w:sz w:val="28"/>
              </w:rPr>
            </w:pPr>
          </w:p>
          <w:p>
            <w:pPr>
              <w:pStyle w:val="TableParagraph"/>
              <w:spacing w:before="0"/>
              <w:ind w:left="23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2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204" w:right="238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204" w:right="169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  <w:p>
            <w:pPr>
              <w:pStyle w:val="TableParagraph"/>
              <w:spacing w:before="93"/>
              <w:ind w:left="2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3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396" w:right="397"/>
              <w:jc w:val="center"/>
              <w:rPr>
                <w:sz w:val="20"/>
              </w:rPr>
            </w:pPr>
            <w:r>
              <w:rPr>
                <w:sz w:val="20"/>
              </w:rPr>
              <w:t>Povećanje/</w:t>
            </w:r>
          </w:p>
          <w:p>
            <w:pPr>
              <w:pStyle w:val="TableParagraph"/>
              <w:spacing w:line="241" w:lineRule="exact" w:before="0"/>
              <w:ind w:left="395" w:right="397"/>
              <w:jc w:val="center"/>
              <w:rPr>
                <w:sz w:val="20"/>
              </w:rPr>
            </w:pPr>
            <w:r>
              <w:rPr>
                <w:sz w:val="20"/>
              </w:rPr>
              <w:t>smanjenje</w:t>
            </w:r>
          </w:p>
          <w:p>
            <w:pPr>
              <w:pStyle w:val="TableParagraph"/>
              <w:spacing w:before="88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line="241" w:lineRule="exact" w:before="6"/>
              <w:ind w:left="16" w:right="60"/>
              <w:jc w:val="center"/>
              <w:rPr>
                <w:sz w:val="20"/>
              </w:rPr>
            </w:pPr>
            <w:r>
              <w:rPr>
                <w:sz w:val="20"/>
              </w:rPr>
              <w:t>Plan proračuna</w:t>
            </w:r>
          </w:p>
          <w:p>
            <w:pPr>
              <w:pStyle w:val="TableParagraph"/>
              <w:spacing w:line="241" w:lineRule="exact" w:before="0"/>
              <w:ind w:left="75" w:right="60"/>
              <w:jc w:val="center"/>
              <w:rPr>
                <w:sz w:val="20"/>
              </w:rPr>
            </w:pPr>
            <w:r>
              <w:rPr>
                <w:sz w:val="20"/>
              </w:rPr>
              <w:t>2020 - 1. Rebalans</w:t>
            </w:r>
          </w:p>
          <w:p>
            <w:pPr>
              <w:pStyle w:val="TableParagraph"/>
              <w:spacing w:before="88"/>
              <w:ind w:left="24"/>
              <w:jc w:val="center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179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110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 prihodi i primici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63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45111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394</w:t>
            </w:r>
          </w:p>
        </w:tc>
        <w:tc>
          <w:tcPr>
            <w:tcW w:w="4051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Dodatna ulaganja na građevinskim objektima</w:t>
            </w:r>
          </w:p>
          <w:p>
            <w:pPr>
              <w:pStyle w:val="TableParagraph"/>
              <w:spacing w:line="200" w:lineRule="exact" w:before="144"/>
              <w:ind w:left="420"/>
              <w:jc w:val="left"/>
              <w:rPr>
                <w:i/>
                <w:sz w:val="17"/>
              </w:rPr>
            </w:pPr>
            <w:r>
              <w:rPr>
                <w:sz w:val="16"/>
              </w:rPr>
              <w:t>1 </w:t>
            </w:r>
            <w:r>
              <w:rPr>
                <w:i/>
                <w:sz w:val="17"/>
              </w:rPr>
              <w:t>PROVEDBA MJERE ENERGETSKE</w:t>
            </w:r>
          </w:p>
          <w:p>
            <w:pPr>
              <w:pStyle w:val="TableParagraph"/>
              <w:spacing w:line="185" w:lineRule="exact" w:before="0"/>
              <w:ind w:left="593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UČINKOVITOSTI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461" w:hRule="atLeast"/>
        </w:trPr>
        <w:tc>
          <w:tcPr>
            <w:tcW w:w="73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  <w:vMerge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right="72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6"/>
              <w:ind w:right="59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6"/>
              <w:ind w:right="65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</w:tc>
      </w:tr>
      <w:tr>
        <w:trPr>
          <w:trHeight w:val="181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411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Komunalni doprinos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7" w:lineRule="exact" w:before="5"/>
              <w:ind w:right="66"/>
              <w:rPr>
                <w:b/>
                <w:sz w:val="14"/>
              </w:rPr>
            </w:pPr>
            <w:r>
              <w:rPr>
                <w:b/>
                <w:sz w:val="14"/>
              </w:rPr>
              <w:t>40.000,00</w:t>
            </w:r>
          </w:p>
        </w:tc>
      </w:tr>
      <w:tr>
        <w:trPr>
          <w:trHeight w:val="493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nespomenuti građevinski objekti</w:t>
            </w:r>
          </w:p>
          <w:p>
            <w:pPr>
              <w:pStyle w:val="TableParagraph"/>
              <w:spacing w:line="184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NOGOSTUP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40.000,00</w:t>
            </w:r>
          </w:p>
        </w:tc>
      </w:tr>
      <w:tr>
        <w:trPr>
          <w:trHeight w:val="183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520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Ostale pomoći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6.481.000,00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9" w:lineRule="exact"/>
              <w:ind w:right="62"/>
              <w:rPr>
                <w:b/>
                <w:sz w:val="14"/>
              </w:rPr>
            </w:pPr>
            <w:r>
              <w:rPr>
                <w:b/>
                <w:sz w:val="14"/>
              </w:rPr>
              <w:t>-2.152.000,00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9" w:lineRule="exact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4.329.000,00</w:t>
            </w:r>
          </w:p>
        </w:tc>
      </w:tr>
      <w:tr>
        <w:trPr>
          <w:trHeight w:val="321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rPr>
                <w:sz w:val="16"/>
              </w:rPr>
            </w:pPr>
            <w:r>
              <w:rPr>
                <w:sz w:val="16"/>
              </w:rPr>
              <w:t>42129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415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poslovni građevinski objekti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69"/>
              <w:rPr>
                <w:sz w:val="16"/>
              </w:rPr>
            </w:pPr>
            <w:r>
              <w:rPr>
                <w:sz w:val="16"/>
              </w:rPr>
              <w:t>250.000,00</w:t>
            </w:r>
          </w:p>
        </w:tc>
      </w:tr>
      <w:tr>
        <w:trPr>
          <w:trHeight w:val="270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463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5"/>
              <w:ind w:right="68"/>
              <w:rPr>
                <w:sz w:val="16"/>
              </w:rPr>
            </w:pPr>
            <w:r>
              <w:rPr>
                <w:sz w:val="16"/>
              </w:rPr>
              <w:t>41.000,00</w:t>
            </w:r>
          </w:p>
        </w:tc>
      </w:tr>
      <w:tr>
        <w:trPr>
          <w:trHeight w:val="278" w:hRule="atLeast"/>
        </w:trPr>
        <w:tc>
          <w:tcPr>
            <w:tcW w:w="73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7" w:lineRule="exact" w:before="71"/>
              <w:ind w:left="420"/>
              <w:jc w:val="left"/>
              <w:rPr>
                <w:i/>
                <w:sz w:val="17"/>
              </w:rPr>
            </w:pPr>
            <w:r>
              <w:rPr>
                <w:sz w:val="16"/>
              </w:rPr>
              <w:t>2 </w:t>
            </w:r>
            <w:r>
              <w:rPr>
                <w:i/>
                <w:sz w:val="17"/>
              </w:rPr>
              <w:t>PROJEKTNA DOKUMENTACIJA</w:t>
            </w:r>
          </w:p>
        </w:tc>
        <w:tc>
          <w:tcPr>
            <w:tcW w:w="181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7" w:lineRule="exact" w:before="71"/>
              <w:ind w:right="75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41.000,00</w:t>
            </w: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7" w:lineRule="exact" w:before="71"/>
              <w:ind w:right="59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87" w:lineRule="exact" w:before="71"/>
              <w:ind w:right="68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41.000,00</w:t>
            </w:r>
          </w:p>
        </w:tc>
      </w:tr>
      <w:tr>
        <w:trPr>
          <w:trHeight w:val="494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485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  <w:p>
            <w:pPr>
              <w:pStyle w:val="TableParagraph"/>
              <w:spacing w:line="184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IZGRADNJA MOSTA I PRISTUPNE CESTE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7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71"/>
              <w:rPr>
                <w:sz w:val="16"/>
              </w:rPr>
            </w:pPr>
            <w:r>
              <w:rPr>
                <w:sz w:val="16"/>
              </w:rPr>
              <w:t>2.500.000,00</w:t>
            </w:r>
          </w:p>
        </w:tc>
      </w:tr>
      <w:tr>
        <w:trPr>
          <w:trHeight w:val="496" w:hRule="atLeast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nespomenuti građevinski objekti</w:t>
            </w:r>
          </w:p>
          <w:p>
            <w:pPr>
              <w:pStyle w:val="TableParagraph"/>
              <w:spacing w:line="188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NOGOSTUP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260.000,00</w:t>
            </w:r>
          </w:p>
        </w:tc>
      </w:tr>
      <w:tr>
        <w:trPr>
          <w:trHeight w:val="493" w:hRule="atLeast"/>
        </w:trPr>
        <w:tc>
          <w:tcPr>
            <w:tcW w:w="738" w:type="dxa"/>
            <w:tcBorders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2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161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nespomenuti građevinski objekti</w:t>
            </w:r>
          </w:p>
          <w:p>
            <w:pPr>
              <w:pStyle w:val="TableParagraph"/>
              <w:spacing w:line="180" w:lineRule="exact" w:before="91"/>
              <w:ind w:left="98"/>
              <w:jc w:val="left"/>
              <w:rPr>
                <w:sz w:val="16"/>
              </w:rPr>
            </w:pPr>
            <w:r>
              <w:rPr>
                <w:sz w:val="16"/>
              </w:rPr>
              <w:t>OGRADA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76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0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10"/>
              <w:ind w:right="69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323" w:hRule="atLeast"/>
        </w:trPr>
        <w:tc>
          <w:tcPr>
            <w:tcW w:w="738" w:type="dxa"/>
            <w:tcBorders>
              <w:top w:val="single" w:sz="1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363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nespomenuti građevinski objekti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7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5"/>
              <w:rPr>
                <w:sz w:val="16"/>
              </w:rPr>
            </w:pPr>
            <w:r>
              <w:rPr>
                <w:sz w:val="16"/>
              </w:rPr>
              <w:t>-2.000.000,00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"/>
              <w:ind w:right="71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326" w:hRule="atLeast"/>
        </w:trPr>
        <w:tc>
          <w:tcPr>
            <w:tcW w:w="738" w:type="dxa"/>
            <w:tcBorders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382</w:t>
            </w:r>
          </w:p>
        </w:tc>
        <w:tc>
          <w:tcPr>
            <w:tcW w:w="405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nespomenuti građevinski objekti</w:t>
            </w:r>
          </w:p>
        </w:tc>
        <w:tc>
          <w:tcPr>
            <w:tcW w:w="1811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0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3"/>
              <w:rPr>
                <w:sz w:val="16"/>
              </w:rPr>
            </w:pPr>
            <w:r>
              <w:rPr>
                <w:sz w:val="16"/>
              </w:rPr>
              <w:t>28.000,00</w:t>
            </w:r>
          </w:p>
        </w:tc>
        <w:tc>
          <w:tcPr>
            <w:tcW w:w="1842" w:type="dxa"/>
            <w:tcBorders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9"/>
              <w:ind w:right="68"/>
              <w:rPr>
                <w:sz w:val="16"/>
              </w:rPr>
            </w:pPr>
            <w:r>
              <w:rPr>
                <w:sz w:val="16"/>
              </w:rPr>
              <w:t>78.000,00</w:t>
            </w:r>
          </w:p>
        </w:tc>
      </w:tr>
      <w:tr>
        <w:trPr>
          <w:trHeight w:val="274" w:hRule="atLeast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5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461</w:t>
            </w:r>
          </w:p>
        </w:tc>
        <w:tc>
          <w:tcPr>
            <w:tcW w:w="405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nespomenuti građevinski objekti</w:t>
            </w:r>
          </w:p>
        </w:tc>
        <w:tc>
          <w:tcPr>
            <w:tcW w:w="1811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76"/>
              <w:rPr>
                <w:sz w:val="16"/>
              </w:rPr>
            </w:pPr>
            <w:r>
              <w:rPr>
                <w:sz w:val="16"/>
              </w:rPr>
              <w:t>180.000,00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9"/>
              <w:ind w:right="64"/>
              <w:rPr>
                <w:sz w:val="16"/>
              </w:rPr>
            </w:pPr>
            <w:r>
              <w:rPr>
                <w:sz w:val="16"/>
              </w:rPr>
              <w:t>-180.000,00</w:t>
            </w:r>
          </w:p>
        </w:tc>
        <w:tc>
          <w:tcPr>
            <w:tcW w:w="1842" w:type="dxa"/>
            <w:tcBorders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9"/>
              <w:ind w:right="6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523" w:hRule="atLeast"/>
        </w:trPr>
        <w:tc>
          <w:tcPr>
            <w:tcW w:w="738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94" w:val="left" w:leader="none"/>
              </w:tabs>
              <w:spacing w:line="240" w:lineRule="auto" w:before="71" w:after="0"/>
              <w:ind w:left="593" w:right="0" w:hanging="174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PROJEKTNA</w:t>
            </w:r>
            <w:r>
              <w:rPr>
                <w:i/>
                <w:spacing w:val="-8"/>
                <w:sz w:val="17"/>
              </w:rPr>
              <w:t> </w:t>
            </w:r>
            <w:r>
              <w:rPr>
                <w:i/>
                <w:sz w:val="17"/>
              </w:rPr>
              <w:t>DOKUMENTACIJA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94" w:val="left" w:leader="none"/>
              </w:tabs>
              <w:spacing w:line="196" w:lineRule="exact" w:before="31" w:after="0"/>
              <w:ind w:left="593" w:right="0" w:hanging="174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IZGRADNJA</w:t>
            </w:r>
            <w:r>
              <w:rPr>
                <w:i/>
                <w:spacing w:val="-7"/>
                <w:sz w:val="17"/>
              </w:rPr>
              <w:t> </w:t>
            </w:r>
            <w:r>
              <w:rPr>
                <w:i/>
                <w:sz w:val="17"/>
              </w:rPr>
              <w:t>PARKIRALIŠTA</w:t>
            </w:r>
          </w:p>
        </w:tc>
        <w:tc>
          <w:tcPr>
            <w:tcW w:w="181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1012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30.000,00</w:t>
            </w:r>
          </w:p>
          <w:p>
            <w:pPr>
              <w:pStyle w:val="TableParagraph"/>
              <w:spacing w:line="196" w:lineRule="exact" w:before="31"/>
              <w:ind w:left="922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150.000,00</w:t>
            </w:r>
          </w:p>
        </w:tc>
        <w:tc>
          <w:tcPr>
            <w:tcW w:w="180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71"/>
              <w:ind w:left="964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-30.000,00</w:t>
            </w:r>
          </w:p>
          <w:p>
            <w:pPr>
              <w:pStyle w:val="TableParagraph"/>
              <w:spacing w:line="196" w:lineRule="exact" w:before="31"/>
              <w:ind w:left="875"/>
              <w:jc w:val="left"/>
              <w:rPr>
                <w:i/>
                <w:sz w:val="17"/>
              </w:rPr>
            </w:pPr>
            <w:r>
              <w:rPr>
                <w:i/>
                <w:w w:val="95"/>
                <w:sz w:val="17"/>
              </w:rPr>
              <w:t>-150.000,00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71"/>
              <w:ind w:right="65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  <w:p>
            <w:pPr>
              <w:pStyle w:val="TableParagraph"/>
              <w:spacing w:line="196" w:lineRule="exact" w:before="31"/>
              <w:ind w:right="65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</w:tc>
      </w:tr>
      <w:tr>
        <w:trPr>
          <w:trHeight w:val="183" w:hRule="atLeast"/>
        </w:trPr>
        <w:tc>
          <w:tcPr>
            <w:tcW w:w="1140" w:type="dxa"/>
            <w:gridSpan w:val="2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720</w:t>
            </w:r>
          </w:p>
        </w:tc>
        <w:tc>
          <w:tcPr>
            <w:tcW w:w="405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Prihodi od prodaje nefin. imovine u vlasništvu RH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579.000,00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10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579.000,00</w:t>
            </w:r>
          </w:p>
        </w:tc>
      </w:tr>
      <w:tr>
        <w:trPr>
          <w:trHeight w:val="492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38612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400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Kapitalne pomoći trgovačkim društvima u javnom</w:t>
            </w:r>
          </w:p>
          <w:p>
            <w:pPr>
              <w:pStyle w:val="TableParagraph"/>
              <w:spacing w:before="3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sektoru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5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50.000,00</w:t>
            </w:r>
          </w:p>
        </w:tc>
      </w:tr>
      <w:tr>
        <w:trPr>
          <w:trHeight w:val="315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398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76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right="69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271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42131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463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Ceste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5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spacing w:before="6"/>
              <w:ind w:right="68"/>
              <w:rPr>
                <w:sz w:val="16"/>
              </w:rPr>
            </w:pPr>
            <w:r>
              <w:rPr>
                <w:sz w:val="16"/>
              </w:rPr>
              <w:t>29.000,00</w:t>
            </w:r>
          </w:p>
        </w:tc>
      </w:tr>
      <w:tr>
        <w:trPr>
          <w:trHeight w:val="280" w:hRule="atLeast"/>
        </w:trPr>
        <w:tc>
          <w:tcPr>
            <w:tcW w:w="738" w:type="dxa"/>
            <w:tcBorders>
              <w:top w:val="nil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1"/>
              <w:ind w:left="420"/>
              <w:jc w:val="left"/>
              <w:rPr>
                <w:i/>
                <w:sz w:val="17"/>
              </w:rPr>
            </w:pPr>
            <w:r>
              <w:rPr>
                <w:sz w:val="16"/>
              </w:rPr>
              <w:t>1 </w:t>
            </w:r>
            <w:r>
              <w:rPr>
                <w:i/>
                <w:sz w:val="17"/>
              </w:rPr>
              <w:t>REKONSTRUKCIJA CESTE</w:t>
            </w:r>
          </w:p>
        </w:tc>
        <w:tc>
          <w:tcPr>
            <w:tcW w:w="1811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1"/>
              <w:ind w:right="75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29.000,00</w:t>
            </w:r>
          </w:p>
        </w:tc>
        <w:tc>
          <w:tcPr>
            <w:tcW w:w="1809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line="189" w:lineRule="exact" w:before="71"/>
              <w:ind w:right="59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line="189" w:lineRule="exact" w:before="71"/>
              <w:ind w:right="68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29.000,00</w:t>
            </w:r>
          </w:p>
        </w:tc>
      </w:tr>
      <w:tr>
        <w:trPr>
          <w:trHeight w:val="179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811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Kredit-Rekonstrukcija i izgradnja pješačkih staza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70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1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3" w:lineRule="exact" w:before="6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2.000.000,00</w:t>
            </w:r>
          </w:p>
        </w:tc>
      </w:tr>
      <w:tr>
        <w:trPr>
          <w:trHeight w:val="318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5"/>
              <w:rPr>
                <w:sz w:val="16"/>
              </w:rPr>
            </w:pPr>
            <w:r>
              <w:rPr>
                <w:sz w:val="16"/>
              </w:rPr>
              <w:t>42149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363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Ostali nespomenuti građevinski objekti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"/>
              <w:ind w:right="65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spacing w:before="6"/>
              <w:ind w:right="71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>
        <w:trPr>
          <w:trHeight w:val="179" w:hRule="atLeast"/>
        </w:trPr>
        <w:tc>
          <w:tcPr>
            <w:tcW w:w="114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left="365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 812</w:t>
            </w:r>
          </w:p>
        </w:tc>
        <w:tc>
          <w:tcPr>
            <w:tcW w:w="40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left="89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Kredit "Energetska obnova Općinske zgrade"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73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58"/>
              <w:rPr>
                <w:b/>
                <w:sz w:val="14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CFFCC"/>
          </w:tcPr>
          <w:p>
            <w:pPr>
              <w:pStyle w:val="TableParagraph"/>
              <w:spacing w:line="155" w:lineRule="exact"/>
              <w:ind w:right="67"/>
              <w:rPr>
                <w:b/>
                <w:sz w:val="14"/>
              </w:rPr>
            </w:pPr>
            <w:r>
              <w:rPr>
                <w:b/>
                <w:sz w:val="14"/>
              </w:rPr>
              <w:t>1.000.000,00</w:t>
            </w:r>
          </w:p>
        </w:tc>
      </w:tr>
      <w:tr>
        <w:trPr>
          <w:trHeight w:val="259" w:hRule="atLeast"/>
        </w:trPr>
        <w:tc>
          <w:tcPr>
            <w:tcW w:w="738" w:type="dxa"/>
            <w:tcBorders>
              <w:top w:val="single" w:sz="12" w:space="0" w:color="000000"/>
              <w:left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sz w:val="16"/>
              </w:rPr>
              <w:t>45111</w:t>
            </w:r>
          </w:p>
        </w:tc>
        <w:tc>
          <w:tcPr>
            <w:tcW w:w="402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left="84" w:right="43"/>
              <w:jc w:val="center"/>
              <w:rPr>
                <w:sz w:val="14"/>
              </w:rPr>
            </w:pPr>
            <w:r>
              <w:rPr>
                <w:sz w:val="14"/>
              </w:rPr>
              <w:t>394</w:t>
            </w:r>
          </w:p>
        </w:tc>
        <w:tc>
          <w:tcPr>
            <w:tcW w:w="40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Dodatna ulaganja na građevinskim objektima</w:t>
            </w:r>
          </w:p>
          <w:p>
            <w:pPr>
              <w:pStyle w:val="TableParagraph"/>
              <w:spacing w:line="200" w:lineRule="exact" w:before="144"/>
              <w:ind w:left="420"/>
              <w:jc w:val="left"/>
              <w:rPr>
                <w:i/>
                <w:sz w:val="17"/>
              </w:rPr>
            </w:pPr>
            <w:r>
              <w:rPr>
                <w:sz w:val="16"/>
              </w:rPr>
              <w:t>1 </w:t>
            </w:r>
            <w:r>
              <w:rPr>
                <w:i/>
                <w:sz w:val="17"/>
              </w:rPr>
              <w:t>PROVEDBA MJERE ENERGETSKE</w:t>
            </w:r>
          </w:p>
          <w:p>
            <w:pPr>
              <w:pStyle w:val="TableParagraph"/>
              <w:spacing w:line="190" w:lineRule="exact" w:before="0"/>
              <w:ind w:left="593"/>
              <w:jc w:val="left"/>
              <w:rPr>
                <w:i/>
                <w:sz w:val="17"/>
              </w:rPr>
            </w:pPr>
            <w:r>
              <w:rPr>
                <w:i/>
                <w:sz w:val="17"/>
              </w:rPr>
              <w:t>UČINKOVITOSTI</w:t>
            </w:r>
          </w:p>
        </w:tc>
        <w:tc>
          <w:tcPr>
            <w:tcW w:w="1811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77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  <w:tc>
          <w:tcPr>
            <w:tcW w:w="1809" w:type="dxa"/>
            <w:tcBorders>
              <w:top w:val="single" w:sz="1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ind w:right="5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2" w:space="0" w:color="000000"/>
              <w:bottom w:val="nil"/>
              <w:right w:val="nil"/>
            </w:tcBorders>
          </w:tcPr>
          <w:p>
            <w:pPr>
              <w:pStyle w:val="TableParagraph"/>
              <w:ind w:right="71"/>
              <w:rPr>
                <w:sz w:val="16"/>
              </w:rPr>
            </w:pPr>
            <w:r>
              <w:rPr>
                <w:sz w:val="16"/>
              </w:rPr>
              <w:t>1.000.000,00</w:t>
            </w:r>
          </w:p>
        </w:tc>
      </w:tr>
      <w:tr>
        <w:trPr>
          <w:trHeight w:val="471" w:hRule="atLeast"/>
        </w:trPr>
        <w:tc>
          <w:tcPr>
            <w:tcW w:w="738" w:type="dxa"/>
            <w:tcBorders>
              <w:top w:val="nil"/>
              <w:left w:val="nil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05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77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1.000.000,00</w:t>
            </w:r>
          </w:p>
        </w:tc>
        <w:tc>
          <w:tcPr>
            <w:tcW w:w="1809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ind w:right="59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0,00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right w:val="nil"/>
            </w:tcBorders>
          </w:tcPr>
          <w:p>
            <w:pPr>
              <w:pStyle w:val="TableParagraph"/>
              <w:spacing w:before="61"/>
              <w:ind w:right="71"/>
              <w:rPr>
                <w:i/>
                <w:sz w:val="17"/>
              </w:rPr>
            </w:pPr>
            <w:r>
              <w:rPr>
                <w:i/>
                <w:w w:val="90"/>
                <w:sz w:val="17"/>
              </w:rPr>
              <w:t>1.000.000,00</w:t>
            </w:r>
          </w:p>
        </w:tc>
      </w:tr>
      <w:tr>
        <w:trPr>
          <w:trHeight w:val="429" w:hRule="atLeast"/>
        </w:trPr>
        <w:tc>
          <w:tcPr>
            <w:tcW w:w="5191" w:type="dxa"/>
            <w:gridSpan w:val="3"/>
            <w:tcBorders>
              <w:left w:val="nil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3"/>
              <w:ind w:left="1231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UKUPNO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72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8.100.000,00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C0C0C0"/>
          </w:tcPr>
          <w:p>
            <w:pPr>
              <w:pStyle w:val="TableParagraph"/>
              <w:spacing w:before="75"/>
              <w:ind w:right="5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-152.000,00</w:t>
            </w:r>
          </w:p>
        </w:tc>
        <w:tc>
          <w:tcPr>
            <w:tcW w:w="1842" w:type="dxa"/>
            <w:tcBorders>
              <w:left w:val="single" w:sz="2" w:space="0" w:color="000000"/>
              <w:bottom w:val="single" w:sz="12" w:space="0" w:color="000000"/>
              <w:right w:val="nil"/>
            </w:tcBorders>
            <w:shd w:val="clear" w:color="auto" w:fill="C0C0C0"/>
          </w:tcPr>
          <w:p>
            <w:pPr>
              <w:pStyle w:val="TableParagraph"/>
              <w:spacing w:before="75"/>
              <w:ind w:right="60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7.948.000,00</w:t>
            </w: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50"/>
          <w:pgMar w:top="1080" w:bottom="280" w:left="120" w:right="280"/>
        </w:sectPr>
      </w:pPr>
    </w:p>
    <w:p>
      <w:pPr>
        <w:pStyle w:val="Heading1"/>
        <w:spacing w:before="76"/>
        <w:jc w:val="both"/>
      </w:pPr>
      <w:r>
        <w:rPr/>
        <w:t>Članak 3.</w:t>
      </w:r>
    </w:p>
    <w:p>
      <w:pPr>
        <w:pStyle w:val="BodyText"/>
        <w:ind w:left="1296" w:right="1139"/>
        <w:jc w:val="both"/>
      </w:pPr>
      <w:r>
        <w:rPr/>
        <w:t>Ovisno o ostvarenju proračunskih prihoda u 2020. godini Općinsko vijeće može smanjiti ili povećati opseg radova utvrđenih ovim Programom radi usklađenja opsega radova sa mogućnostima financiranja istih.</w:t>
      </w:r>
    </w:p>
    <w:p>
      <w:pPr>
        <w:pStyle w:val="BodyText"/>
      </w:pPr>
    </w:p>
    <w:p>
      <w:pPr>
        <w:pStyle w:val="Heading1"/>
        <w:jc w:val="both"/>
      </w:pPr>
      <w:r>
        <w:rPr/>
        <w:t>Članak 4.</w:t>
      </w:r>
    </w:p>
    <w:p>
      <w:pPr>
        <w:pStyle w:val="ListParagraph"/>
        <w:numPr>
          <w:ilvl w:val="2"/>
          <w:numId w:val="2"/>
        </w:numPr>
        <w:tabs>
          <w:tab w:pos="1577" w:val="left" w:leader="none"/>
        </w:tabs>
        <w:spacing w:line="240" w:lineRule="auto" w:before="0" w:after="0"/>
        <w:ind w:left="1232" w:right="1146" w:firstLine="144"/>
        <w:jc w:val="left"/>
        <w:rPr>
          <w:sz w:val="24"/>
        </w:rPr>
      </w:pPr>
      <w:r>
        <w:rPr>
          <w:sz w:val="24"/>
        </w:rPr>
        <w:t>Izmjene</w:t>
      </w:r>
      <w:r>
        <w:rPr>
          <w:spacing w:val="-9"/>
          <w:sz w:val="24"/>
        </w:rPr>
        <w:t> </w:t>
      </w:r>
      <w:r>
        <w:rPr>
          <w:sz w:val="24"/>
        </w:rPr>
        <w:t>i</w:t>
      </w:r>
      <w:r>
        <w:rPr>
          <w:spacing w:val="-8"/>
          <w:sz w:val="24"/>
        </w:rPr>
        <w:t> </w:t>
      </w:r>
      <w:r>
        <w:rPr>
          <w:sz w:val="24"/>
        </w:rPr>
        <w:t>dopune</w:t>
      </w:r>
      <w:r>
        <w:rPr>
          <w:spacing w:val="-8"/>
          <w:sz w:val="24"/>
        </w:rPr>
        <w:t> </w:t>
      </w:r>
      <w:r>
        <w:rPr>
          <w:sz w:val="24"/>
        </w:rPr>
        <w:t>Programa</w:t>
      </w:r>
      <w:r>
        <w:rPr>
          <w:spacing w:val="-13"/>
          <w:sz w:val="24"/>
        </w:rPr>
        <w:t> </w:t>
      </w:r>
      <w:r>
        <w:rPr>
          <w:sz w:val="24"/>
        </w:rPr>
        <w:t>izgradnje</w:t>
      </w:r>
      <w:r>
        <w:rPr>
          <w:spacing w:val="-8"/>
          <w:sz w:val="24"/>
        </w:rPr>
        <w:t> </w:t>
      </w:r>
      <w:r>
        <w:rPr>
          <w:sz w:val="24"/>
        </w:rPr>
        <w:t>objekata</w:t>
      </w:r>
      <w:r>
        <w:rPr>
          <w:spacing w:val="-12"/>
          <w:sz w:val="24"/>
        </w:rPr>
        <w:t> </w:t>
      </w:r>
      <w:r>
        <w:rPr>
          <w:sz w:val="24"/>
        </w:rPr>
        <w:t>i</w:t>
      </w:r>
      <w:r>
        <w:rPr>
          <w:spacing w:val="-9"/>
          <w:sz w:val="24"/>
        </w:rPr>
        <w:t> </w:t>
      </w:r>
      <w:r>
        <w:rPr>
          <w:sz w:val="24"/>
        </w:rPr>
        <w:t>uređaja</w:t>
      </w:r>
      <w:r>
        <w:rPr>
          <w:spacing w:val="-8"/>
          <w:sz w:val="24"/>
        </w:rPr>
        <w:t> </w:t>
      </w:r>
      <w:r>
        <w:rPr>
          <w:sz w:val="24"/>
        </w:rPr>
        <w:t>komunalne</w:t>
      </w:r>
      <w:r>
        <w:rPr>
          <w:spacing w:val="-8"/>
          <w:sz w:val="24"/>
        </w:rPr>
        <w:t> </w:t>
      </w:r>
      <w:r>
        <w:rPr>
          <w:sz w:val="24"/>
        </w:rPr>
        <w:t>infrastrukture</w:t>
      </w:r>
      <w:r>
        <w:rPr>
          <w:spacing w:val="-9"/>
          <w:sz w:val="24"/>
        </w:rPr>
        <w:t> </w:t>
      </w:r>
      <w:r>
        <w:rPr>
          <w:sz w:val="24"/>
        </w:rPr>
        <w:t>objavit</w:t>
      </w:r>
      <w:r>
        <w:rPr>
          <w:spacing w:val="-8"/>
          <w:sz w:val="24"/>
        </w:rPr>
        <w:t> </w:t>
      </w:r>
      <w:r>
        <w:rPr>
          <w:sz w:val="24"/>
        </w:rPr>
        <w:t>će se u „Službenom glasniku Općine Vuka“, a primjenjuje se od 01. siječnja 2020.</w:t>
      </w:r>
      <w:r>
        <w:rPr>
          <w:spacing w:val="-11"/>
          <w:sz w:val="24"/>
        </w:rPr>
        <w:t> </w:t>
      </w:r>
      <w:r>
        <w:rPr>
          <w:sz w:val="24"/>
        </w:rPr>
        <w:t>godine</w:t>
      </w:r>
    </w:p>
    <w:p>
      <w:pPr>
        <w:pStyle w:val="BodyText"/>
        <w:spacing w:line="242" w:lineRule="auto" w:before="173"/>
        <w:ind w:left="1296" w:right="7527"/>
      </w:pPr>
      <w:r>
        <w:rPr/>
        <w:t>KLASA: 400-08/20-01/01 URBROJ: 2158/06-02-20-9</w:t>
      </w:r>
    </w:p>
    <w:p>
      <w:pPr>
        <w:pStyle w:val="BodyText"/>
        <w:spacing w:before="26"/>
        <w:ind w:left="1300"/>
      </w:pPr>
      <w:r>
        <w:rPr/>
        <w:t>U Vuki, 28. svibnja 2020. godine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42" w:lineRule="auto"/>
        <w:ind w:left="7738" w:right="1703" w:hanging="757"/>
      </w:pPr>
      <w:r>
        <w:rPr/>
        <w:t>Predsjednik općinskog vijeća Stjepan Ribić</w:t>
      </w:r>
    </w:p>
    <w:sectPr>
      <w:pgSz w:w="11920" w:h="16840"/>
      <w:pgMar w:top="1320" w:bottom="280" w:left="12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"/>
      <w:lvlJc w:val="left"/>
      <w:pPr>
        <w:ind w:left="593" w:hanging="174"/>
        <w:jc w:val="left"/>
      </w:pPr>
      <w:rPr>
        <w:rFonts w:hint="default" w:ascii="Tahoma" w:hAnsi="Tahoma" w:eastAsia="Tahoma" w:cs="Tahoma"/>
        <w:w w:val="100"/>
        <w:sz w:val="16"/>
        <w:szCs w:val="16"/>
        <w:lang w:val="hr-HR" w:eastAsia="en-US" w:bidi="ar-SA"/>
      </w:rPr>
    </w:lvl>
    <w:lvl w:ilvl="1">
      <w:start w:val="0"/>
      <w:numFmt w:val="bullet"/>
      <w:lvlText w:val="•"/>
      <w:lvlJc w:val="left"/>
      <w:pPr>
        <w:ind w:left="944" w:hanging="174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1289" w:hanging="174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1633" w:hanging="174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1978" w:hanging="174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2323" w:hanging="174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2667" w:hanging="174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3012" w:hanging="174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3356" w:hanging="174"/>
      </w:pPr>
      <w:rPr>
        <w:rFonts w:hint="default"/>
        <w:lang w:val="hr-HR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668" w:hanging="234"/>
        <w:jc w:val="left"/>
      </w:pPr>
      <w:rPr>
        <w:rFonts w:hint="default"/>
        <w:lang w:val="hr-HR" w:eastAsia="en-US" w:bidi="ar-SA"/>
      </w:rPr>
    </w:lvl>
    <w:lvl w:ilvl="1">
      <w:start w:val="1"/>
      <w:numFmt w:val="upperRoman"/>
      <w:lvlText w:val="%1.%2"/>
      <w:lvlJc w:val="left"/>
      <w:pPr>
        <w:ind w:left="668" w:hanging="234"/>
        <w:jc w:val="left"/>
      </w:pPr>
      <w:rPr>
        <w:rFonts w:hint="default" w:ascii="Times New Roman" w:hAnsi="Times New Roman" w:eastAsia="Times New Roman" w:cs="Times New Roman"/>
        <w:w w:val="99"/>
        <w:sz w:val="22"/>
        <w:szCs w:val="22"/>
        <w:lang w:val="hr-HR" w:eastAsia="en-US" w:bidi="ar-SA"/>
      </w:rPr>
    </w:lvl>
    <w:lvl w:ilvl="2">
      <w:start w:val="1"/>
      <w:numFmt w:val="upperRoman"/>
      <w:lvlText w:val="%3."/>
      <w:lvlJc w:val="left"/>
      <w:pPr>
        <w:ind w:left="1232" w:hanging="200"/>
        <w:jc w:val="left"/>
      </w:pPr>
      <w:rPr>
        <w:rFonts w:hint="default" w:ascii="Times New Roman" w:hAnsi="Times New Roman" w:eastAsia="Times New Roman" w:cs="Times New Roman"/>
        <w:spacing w:val="-11"/>
        <w:w w:val="99"/>
        <w:sz w:val="24"/>
        <w:szCs w:val="24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522" w:hanging="20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663" w:hanging="20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804" w:hanging="20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945" w:hanging="20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086" w:hanging="20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227" w:hanging="200"/>
      </w:pPr>
      <w:rPr>
        <w:rFonts w:hint="default"/>
        <w:lang w:val="hr-H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"/>
      <w:lvlJc w:val="left"/>
      <w:pPr>
        <w:ind w:left="1320" w:hanging="360"/>
      </w:pPr>
      <w:rPr>
        <w:rFonts w:hint="default" w:ascii="Wingdings" w:hAnsi="Wingdings" w:eastAsia="Wingdings" w:cs="Wingdings"/>
        <w:w w:val="100"/>
        <w:sz w:val="24"/>
        <w:szCs w:val="24"/>
        <w:lang w:val="hr-HR" w:eastAsia="en-US" w:bidi="ar-SA"/>
      </w:rPr>
    </w:lvl>
    <w:lvl w:ilvl="1">
      <w:start w:val="0"/>
      <w:numFmt w:val="bullet"/>
      <w:lvlText w:val="•"/>
      <w:lvlJc w:val="left"/>
      <w:pPr>
        <w:ind w:left="233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3357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4376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5395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6414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7433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8452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9471" w:hanging="360"/>
      </w:pPr>
      <w:rPr>
        <w:rFonts w:hint="default"/>
        <w:lang w:val="hr-H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hr-HR" w:eastAsia="en-US" w:bidi="ar-SA"/>
    </w:rPr>
  </w:style>
  <w:style w:styleId="Heading1" w:type="paragraph">
    <w:name w:val="Heading 1"/>
    <w:basedOn w:val="Normal"/>
    <w:uiPriority w:val="1"/>
    <w:qFormat/>
    <w:pPr>
      <w:ind w:left="5337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1320" w:hanging="361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jc w:val="right"/>
    </w:pPr>
    <w:rPr>
      <w:rFonts w:ascii="Tahoma" w:hAnsi="Tahoma" w:eastAsia="Tahoma" w:cs="Tahoma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2020-06-01T08:01:16Z</dcterms:created>
  <dcterms:modified xsi:type="dcterms:W3CDTF">2020-06-01T08:01:16Z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2020-06-01T00:00:00Z</vt:filetime>
  </property>
</Properties>
</file>