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9"/>
        <w:rPr>
          <w:sz w:val="20"/>
        </w:rPr>
      </w:pPr>
      <w:r>
        <w:rPr>
          <w:sz w:val="20"/>
        </w:rPr>
        <w:drawing>
          <wp:inline distT="0" distB="0" distL="0" distR="0">
            <wp:extent cx="261567" cy="3220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6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</w:tblGrid>
      <w:tr>
        <w:trPr>
          <w:trHeight w:val="234" w:hRule="atLeast"/>
        </w:trPr>
        <w:tc>
          <w:tcPr>
            <w:tcW w:w="2767" w:type="dxa"/>
          </w:tcPr>
          <w:p>
            <w:pPr>
              <w:pStyle w:val="TableParagraph"/>
              <w:spacing w:line="215" w:lineRule="exact" w:before="0"/>
              <w:ind w:left="20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 HRVATSKA</w:t>
            </w:r>
          </w:p>
        </w:tc>
      </w:tr>
      <w:tr>
        <w:trPr>
          <w:trHeight w:val="574" w:hRule="atLeast"/>
        </w:trPr>
        <w:tc>
          <w:tcPr>
            <w:tcW w:w="2767" w:type="dxa"/>
          </w:tcPr>
          <w:p>
            <w:pPr>
              <w:pStyle w:val="TableParagraph"/>
              <w:spacing w:before="4"/>
              <w:ind w:left="880" w:right="247" w:hanging="609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OSJEČKO BARANJSKA ŽUPANIJA</w:t>
            </w:r>
          </w:p>
        </w:tc>
      </w:tr>
      <w:tr>
        <w:trPr>
          <w:trHeight w:val="335" w:hRule="atLeast"/>
        </w:trPr>
        <w:tc>
          <w:tcPr>
            <w:tcW w:w="2767" w:type="dxa"/>
          </w:tcPr>
          <w:p>
            <w:pPr>
              <w:pStyle w:val="TableParagraph"/>
              <w:spacing w:line="213" w:lineRule="exact" w:before="102"/>
              <w:ind w:left="612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 VUKA</w:t>
            </w:r>
          </w:p>
        </w:tc>
      </w:tr>
      <w:tr>
        <w:trPr>
          <w:trHeight w:val="224" w:hRule="atLeast"/>
        </w:trPr>
        <w:tc>
          <w:tcPr>
            <w:tcW w:w="2767" w:type="dxa"/>
          </w:tcPr>
          <w:p>
            <w:pPr>
              <w:pStyle w:val="TableParagraph"/>
              <w:spacing w:line="205" w:lineRule="exact" w:before="0"/>
              <w:ind w:left="612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 vijeće</w:t>
            </w:r>
          </w:p>
        </w:tc>
      </w:tr>
    </w:tbl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600" w:right="226"/>
        <w:jc w:val="both"/>
      </w:pPr>
      <w:r>
        <w:rPr/>
        <w:t>Na temelju članka 2. i članka 49. Zakon o predškolskom odgoju (Narodne novine broj </w:t>
      </w:r>
      <w:hyperlink r:id="rId6">
        <w:r>
          <w:rPr/>
          <w:t>10/97</w:t>
        </w:r>
      </w:hyperlink>
      <w:r>
        <w:rPr/>
        <w:t>, </w:t>
      </w:r>
      <w:hyperlink r:id="rId7">
        <w:r>
          <w:rPr/>
          <w:t>107/07</w:t>
        </w:r>
      </w:hyperlink>
      <w:r>
        <w:rPr/>
        <w:t>, </w:t>
      </w:r>
      <w:hyperlink r:id="rId8">
        <w:r>
          <w:rPr/>
          <w:t>94/13</w:t>
        </w:r>
      </w:hyperlink>
      <w:r>
        <w:rPr/>
        <w:t>, 98/19), članka 143. Zakon o odgoju i obrazovanju u osnovnoj i srednjoj školi (Narodne novine broj </w:t>
      </w:r>
      <w:hyperlink r:id="rId9">
        <w:r>
          <w:rPr/>
          <w:t>87/08</w:t>
        </w:r>
      </w:hyperlink>
      <w:r>
        <w:rPr/>
        <w:t>, </w:t>
      </w:r>
      <w:hyperlink r:id="rId10">
        <w:r>
          <w:rPr/>
          <w:t>86/09</w:t>
        </w:r>
      </w:hyperlink>
      <w:r>
        <w:rPr/>
        <w:t>, </w:t>
      </w:r>
      <w:hyperlink r:id="rId11">
        <w:r>
          <w:rPr/>
          <w:t>92/10</w:t>
        </w:r>
      </w:hyperlink>
      <w:r>
        <w:rPr/>
        <w:t>, </w:t>
      </w:r>
      <w:hyperlink r:id="rId12">
        <w:r>
          <w:rPr/>
          <w:t>105/10</w:t>
        </w:r>
      </w:hyperlink>
      <w:r>
        <w:rPr/>
        <w:t>, </w:t>
      </w:r>
      <w:hyperlink r:id="rId13">
        <w:r>
          <w:rPr/>
          <w:t>90/11</w:t>
        </w:r>
      </w:hyperlink>
      <w:r>
        <w:rPr/>
        <w:t>, </w:t>
      </w:r>
      <w:hyperlink r:id="rId14">
        <w:r>
          <w:rPr/>
          <w:t>5/12</w:t>
        </w:r>
      </w:hyperlink>
      <w:r>
        <w:rPr/>
        <w:t>, </w:t>
      </w:r>
      <w:hyperlink r:id="rId15">
        <w:r>
          <w:rPr/>
          <w:t>16/12</w:t>
        </w:r>
      </w:hyperlink>
      <w:r>
        <w:rPr/>
        <w:t>, </w:t>
      </w:r>
      <w:hyperlink r:id="rId16">
        <w:r>
          <w:rPr/>
          <w:t>86/12</w:t>
        </w:r>
      </w:hyperlink>
      <w:r>
        <w:rPr/>
        <w:t>, </w:t>
      </w:r>
      <w:hyperlink r:id="rId17">
        <w:r>
          <w:rPr/>
          <w:t>126/12</w:t>
        </w:r>
      </w:hyperlink>
      <w:r>
        <w:rPr/>
        <w:t>, </w:t>
      </w:r>
      <w:hyperlink r:id="rId18">
        <w:r>
          <w:rPr/>
          <w:t>94/13</w:t>
        </w:r>
      </w:hyperlink>
      <w:r>
        <w:rPr/>
        <w:t>, 152/14, 07/17, 68/18, 98/19) i članka 36.</w:t>
      </w:r>
    </w:p>
    <w:p>
      <w:pPr>
        <w:pStyle w:val="BodyText"/>
        <w:ind w:left="600" w:right="117"/>
        <w:jc w:val="both"/>
      </w:pPr>
      <w:r>
        <w:rPr/>
        <w:t>Statuta Općine Vuka (Službeni glasnik Općine Vuka broj 01/14, 01/18, 01/20), Općinsko vijeće Općine Vuka na </w:t>
      </w:r>
      <w:r>
        <w:rPr>
          <w:position w:val="2"/>
        </w:rPr>
        <w:t>sjednici održanoj </w:t>
      </w:r>
      <w:r>
        <w:rPr/>
        <w:t>28. svibnja 2020. godine donosi</w:t>
      </w:r>
    </w:p>
    <w:p>
      <w:pPr>
        <w:pStyle w:val="Heading1"/>
        <w:spacing w:before="217"/>
        <w:ind w:right="4742"/>
      </w:pPr>
      <w:r>
        <w:rPr/>
        <w:t>PROGRAMA</w:t>
      </w:r>
    </w:p>
    <w:p>
      <w:pPr>
        <w:spacing w:line="242" w:lineRule="auto" w:before="0"/>
        <w:ind w:left="3269" w:right="2906" w:hanging="10"/>
        <w:jc w:val="center"/>
        <w:rPr>
          <w:b/>
          <w:sz w:val="24"/>
        </w:rPr>
      </w:pPr>
      <w:r>
        <w:rPr>
          <w:b/>
          <w:sz w:val="24"/>
        </w:rPr>
        <w:t>JAVNIH POTREBA U PREDŠKOLSKOM ODGOJU I OBRAZOVANJU ZA 2020. GODINU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5341" w:right="0" w:firstLine="0"/>
        <w:jc w:val="left"/>
        <w:rPr>
          <w:b/>
          <w:sz w:val="24"/>
        </w:rPr>
      </w:pPr>
      <w:r>
        <w:rPr>
          <w:b/>
          <w:sz w:val="24"/>
        </w:rPr>
        <w:t>Članak 1.</w:t>
      </w:r>
    </w:p>
    <w:p>
      <w:pPr>
        <w:pStyle w:val="BodyText"/>
        <w:ind w:left="600" w:right="248"/>
        <w:jc w:val="both"/>
      </w:pPr>
      <w:r>
        <w:rPr/>
        <w:t>Sredstva za financiranje Programa predškolskog odgoja na području Općine Vuka, kao i sredstva za financiranje O.Š. »Milka Cepelića« Vuka osiguravaju se u Proračunu Općine Vuka.</w:t>
      </w:r>
    </w:p>
    <w:p>
      <w:pPr>
        <w:pStyle w:val="BodyText"/>
        <w:spacing w:before="1"/>
      </w:pPr>
    </w:p>
    <w:p>
      <w:pPr>
        <w:pStyle w:val="BodyText"/>
        <w:ind w:left="600" w:right="232"/>
        <w:jc w:val="both"/>
      </w:pPr>
      <w:r>
        <w:rPr/>
        <w:t>Program predškolskog odgoja i obrazovanja u Vuki provodi Dječji vrtić Snjeguljica. Navedeni dječji vrtić djeluje</w:t>
      </w:r>
      <w:r>
        <w:rPr>
          <w:spacing w:val="-16"/>
        </w:rPr>
        <w:t> </w:t>
      </w:r>
      <w:r>
        <w:rPr/>
        <w:t>u</w:t>
      </w:r>
      <w:r>
        <w:rPr>
          <w:spacing w:val="-18"/>
        </w:rPr>
        <w:t> </w:t>
      </w:r>
      <w:r>
        <w:rPr/>
        <w:t>prostorijama</w:t>
      </w:r>
      <w:r>
        <w:rPr>
          <w:spacing w:val="-16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Vuka,</w:t>
      </w:r>
      <w:r>
        <w:rPr>
          <w:spacing w:val="-18"/>
        </w:rPr>
        <w:t> </w:t>
      </w:r>
      <w:r>
        <w:rPr/>
        <w:t>u</w:t>
      </w:r>
      <w:r>
        <w:rPr>
          <w:spacing w:val="-18"/>
        </w:rPr>
        <w:t> </w:t>
      </w:r>
      <w:r>
        <w:rPr/>
        <w:t>jednoj</w:t>
      </w:r>
      <w:r>
        <w:rPr>
          <w:spacing w:val="-17"/>
        </w:rPr>
        <w:t> </w:t>
      </w:r>
      <w:r>
        <w:rPr/>
        <w:t>mješovitoj</w:t>
      </w:r>
      <w:r>
        <w:rPr>
          <w:spacing w:val="-16"/>
        </w:rPr>
        <w:t> </w:t>
      </w:r>
      <w:r>
        <w:rPr/>
        <w:t>odgojnoj</w:t>
      </w:r>
      <w:r>
        <w:rPr>
          <w:spacing w:val="-17"/>
        </w:rPr>
        <w:t> </w:t>
      </w:r>
      <w:r>
        <w:rPr/>
        <w:t>skupini.</w:t>
      </w:r>
      <w:r>
        <w:rPr>
          <w:spacing w:val="-18"/>
        </w:rPr>
        <w:t> </w:t>
      </w:r>
      <w:r>
        <w:rPr/>
        <w:t>Općina</w:t>
      </w:r>
      <w:r>
        <w:rPr>
          <w:spacing w:val="-16"/>
        </w:rPr>
        <w:t> </w:t>
      </w:r>
      <w:r>
        <w:rPr/>
        <w:t>Vuka</w:t>
      </w:r>
      <w:r>
        <w:rPr>
          <w:spacing w:val="-15"/>
        </w:rPr>
        <w:t> </w:t>
      </w:r>
      <w:r>
        <w:rPr/>
        <w:t>sufinancira</w:t>
      </w:r>
      <w:r>
        <w:rPr>
          <w:spacing w:val="-16"/>
        </w:rPr>
        <w:t> </w:t>
      </w:r>
      <w:r>
        <w:rPr/>
        <w:t>rad</w:t>
      </w:r>
      <w:r>
        <w:rPr>
          <w:spacing w:val="-18"/>
        </w:rPr>
        <w:t> </w:t>
      </w:r>
      <w:r>
        <w:rPr/>
        <w:t>dječjeg vrtića, te za isto osigurava sredstva u proračunu. Pohađatelji su i djeca iz susjedne Općine Čepin, za koje Općina Čepin sufinancira njihov boravak temeljem sklopljenog</w:t>
      </w:r>
      <w:r>
        <w:rPr>
          <w:spacing w:val="-4"/>
        </w:rPr>
        <w:t> </w:t>
      </w:r>
      <w:r>
        <w:rPr/>
        <w:t>Sporazuma.</w:t>
      </w:r>
    </w:p>
    <w:p>
      <w:pPr>
        <w:pStyle w:val="BodyText"/>
        <w:spacing w:before="4"/>
      </w:pPr>
    </w:p>
    <w:p>
      <w:pPr>
        <w:pStyle w:val="BodyText"/>
        <w:ind w:left="600" w:right="228"/>
        <w:jc w:val="both"/>
      </w:pPr>
      <w:r>
        <w:rPr/>
        <w:t>Sredstva za financiranje OŠ »Milka Cepelića« Vuka u skladu s Programom osigurana su u Proračunu Općine Vuka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13.000,00</w:t>
      </w:r>
      <w:r>
        <w:rPr>
          <w:spacing w:val="-5"/>
        </w:rPr>
        <w:t> </w:t>
      </w:r>
      <w:r>
        <w:rPr/>
        <w:t>kn.</w:t>
      </w:r>
      <w:r>
        <w:rPr>
          <w:spacing w:val="-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će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doznačivati</w:t>
      </w:r>
      <w:r>
        <w:rPr>
          <w:spacing w:val="-2"/>
        </w:rPr>
        <w:t> </w:t>
      </w:r>
      <w:r>
        <w:rPr/>
        <w:t>OŠ</w:t>
      </w:r>
      <w:r>
        <w:rPr>
          <w:spacing w:val="-7"/>
        </w:rPr>
        <w:t> </w:t>
      </w:r>
      <w:r>
        <w:rPr/>
        <w:t>»Milka</w:t>
      </w:r>
      <w:r>
        <w:rPr>
          <w:spacing w:val="-3"/>
        </w:rPr>
        <w:t> </w:t>
      </w:r>
      <w:r>
        <w:rPr/>
        <w:t>Cepelića«</w:t>
      </w:r>
      <w:r>
        <w:rPr>
          <w:spacing w:val="-5"/>
        </w:rPr>
        <w:t> </w:t>
      </w:r>
      <w:r>
        <w:rPr/>
        <w:t>Vuka</w:t>
      </w:r>
      <w:r>
        <w:rPr>
          <w:spacing w:val="-4"/>
        </w:rPr>
        <w:t> </w:t>
      </w:r>
      <w:r>
        <w:rPr/>
        <w:t>prema</w:t>
      </w:r>
      <w:r>
        <w:rPr>
          <w:spacing w:val="-3"/>
        </w:rPr>
        <w:t> </w:t>
      </w:r>
      <w:r>
        <w:rPr/>
        <w:t>zahtjevima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to za financiranje troškova održavanja nastave djece u prirodi, te ostalih aktivnosti, sukladno potrebama</w:t>
      </w:r>
      <w:r>
        <w:rPr>
          <w:spacing w:val="-28"/>
        </w:rPr>
        <w:t> </w:t>
      </w:r>
      <w:r>
        <w:rPr/>
        <w:t>škole.</w:t>
      </w:r>
    </w:p>
    <w:p>
      <w:pPr>
        <w:pStyle w:val="BodyText"/>
      </w:pPr>
    </w:p>
    <w:p>
      <w:pPr>
        <w:pStyle w:val="BodyText"/>
        <w:ind w:left="600" w:right="243"/>
        <w:jc w:val="both"/>
      </w:pPr>
      <w:r>
        <w:rPr/>
        <w:t>U planu proračuna predviđena su sredstva za sufinanciranje prijevoza učenika srednjih škola i fakulteta, te nagrađivanje učenika i studenata, kao i sredstva za stipendiranje studenata, koja se dodjeljuju sukladno provedenom javnom natječaju. Za akademsku 2019./2020. godinu potpisano je ukupno 7 ugovora o stipendiranju studenata.</w:t>
      </w:r>
    </w:p>
    <w:p>
      <w:pPr>
        <w:pStyle w:val="BodyText"/>
      </w:pPr>
    </w:p>
    <w:p>
      <w:pPr>
        <w:pStyle w:val="BodyText"/>
        <w:spacing w:before="1"/>
        <w:ind w:left="600" w:right="241"/>
        <w:jc w:val="both"/>
      </w:pPr>
      <w:r>
        <w:rPr/>
        <w:t>Iznos od 50.000,00 kn planiran za nabavu udžbenika, radnih bilježnica i radnog materijala, te iznos od 11.000,00 kn za nabavku bilježnica osnovnoškolcima s područja Općine Vuka u 2020. godini planiran je za otprilike 100 učenika.</w:t>
      </w:r>
    </w:p>
    <w:p>
      <w:pPr>
        <w:pStyle w:val="BodyText"/>
        <w:ind w:left="668" w:right="231"/>
        <w:jc w:val="both"/>
      </w:pPr>
      <w:r>
        <w:rPr/>
        <w:t>I.Izmjenama i dopunama Proračuna za 2020. godinu, smanjuje se iznos od 40.000,00 kn na financiranju programa predškole, s obzirom da su djeca koja pohađaju program predškole uključena u Dječji vrtić Snjeguljica u Vuki, i sukladno tome, u trošak sufinanciranja vrtića.</w:t>
      </w:r>
    </w:p>
    <w:p>
      <w:pPr>
        <w:pStyle w:val="BodyText"/>
      </w:pPr>
    </w:p>
    <w:p>
      <w:pPr>
        <w:pStyle w:val="Heading1"/>
        <w:ind w:left="5341"/>
        <w:jc w:val="left"/>
      </w:pPr>
      <w:r>
        <w:rPr/>
        <w:t>Članak 2.</w:t>
      </w:r>
    </w:p>
    <w:p>
      <w:pPr>
        <w:pStyle w:val="BodyText"/>
        <w:ind w:left="600" w:right="236"/>
        <w:jc w:val="both"/>
      </w:pPr>
      <w:r>
        <w:rPr/>
        <w:t>Planirana sredstva za provedbu Programa javnih potreba u predškolskom odgoju i obrazovanju iz Općinskog proračuna za 2020. godinu iznose kako slijedi:</w:t>
      </w:r>
    </w:p>
    <w:p>
      <w:pPr>
        <w:spacing w:after="0"/>
        <w:jc w:val="both"/>
        <w:sectPr>
          <w:type w:val="continuous"/>
          <w:pgSz w:w="11920" w:h="16840"/>
          <w:pgMar w:top="1320" w:bottom="280" w:left="120" w:right="480"/>
        </w:sectPr>
      </w:pPr>
    </w:p>
    <w:p>
      <w:pPr>
        <w:spacing w:before="81"/>
        <w:ind w:left="126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264858</wp:posOffset>
            </wp:positionH>
            <wp:positionV relativeFrom="paragraph">
              <wp:posOffset>65568</wp:posOffset>
            </wp:positionV>
            <wp:extent cx="523900" cy="6652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00" cy="6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>
      <w:pPr>
        <w:spacing w:before="50"/>
        <w:ind w:left="126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>
      <w:pPr>
        <w:spacing w:before="53"/>
        <w:ind w:left="1263" w:right="0" w:firstLine="0"/>
        <w:jc w:val="left"/>
        <w:rPr>
          <w:rFonts w:ascii="Arial" w:hAnsi="Arial"/>
          <w:b/>
          <w:sz w:val="22"/>
        </w:rPr>
      </w:pPr>
      <w:r>
        <w:rPr/>
        <w:pict>
          <v:rect style="position:absolute;margin-left:68.313004pt;margin-top:18.707701pt;width:202.15pt;height:.1201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 w:hAnsi="Arial"/>
          <w:b/>
          <w:sz w:val="22"/>
        </w:rPr>
        <w:t>OPĆINA VUKA</w:t>
      </w:r>
    </w:p>
    <w:p>
      <w:pPr>
        <w:spacing w:before="36"/>
        <w:ind w:left="12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>
      <w:pPr>
        <w:pStyle w:val="BodyText"/>
        <w:spacing w:before="8" w:after="1"/>
        <w:rPr>
          <w:rFonts w:ascii="Arial"/>
          <w:b/>
          <w:sz w:val="11"/>
        </w:rPr>
      </w:pPr>
    </w:p>
    <w:tbl>
      <w:tblPr>
        <w:tblW w:w="0" w:type="auto"/>
        <w:jc w:val="left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548"/>
        <w:gridCol w:w="3216"/>
        <w:gridCol w:w="1765"/>
        <w:gridCol w:w="1768"/>
        <w:gridCol w:w="1777"/>
        <w:gridCol w:w="1075"/>
      </w:tblGrid>
      <w:tr>
        <w:trPr>
          <w:trHeight w:val="837" w:hRule="atLeast"/>
        </w:trPr>
        <w:tc>
          <w:tcPr>
            <w:tcW w:w="1088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784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>
            <w:pPr>
              <w:pStyle w:val="TableParagraph"/>
              <w:spacing w:before="75"/>
              <w:ind w:left="1527" w:right="153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JAVNIH POTREBA U PREDŠKOLSKOM ODGOJU I OBRAZOVANJU</w:t>
            </w:r>
          </w:p>
        </w:tc>
      </w:tr>
      <w:tr>
        <w:trPr>
          <w:trHeight w:val="839" w:hRule="atLeast"/>
        </w:trPr>
        <w:tc>
          <w:tcPr>
            <w:tcW w:w="128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285" w:right="30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287" w:right="302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5"/>
              <w:ind w:right="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407" w:right="137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52" w:right="244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93"/>
              <w:ind w:right="2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371" w:right="38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71" w:right="379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93"/>
              <w:ind w:righ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26" w:right="10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26" w:right="43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>
            <w:pPr>
              <w:pStyle w:val="TableParagraph"/>
              <w:spacing w:before="93"/>
              <w:ind w:right="1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52" w:right="225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>
            <w:pPr>
              <w:pStyle w:val="TableParagraph"/>
              <w:spacing w:before="87"/>
              <w:ind w:left="2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</w:tr>
      <w:tr>
        <w:trPr>
          <w:trHeight w:val="179" w:hRule="atLeast"/>
        </w:trPr>
        <w:tc>
          <w:tcPr>
            <w:tcW w:w="128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51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>
        <w:trPr>
          <w:trHeight w:val="48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4"/>
              <w:rPr>
                <w:sz w:val="14"/>
              </w:rPr>
            </w:pPr>
            <w:r>
              <w:rPr>
                <w:sz w:val="14"/>
              </w:rPr>
              <w:t>493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 izvan</w:t>
            </w:r>
          </w:p>
          <w:p>
            <w:pPr>
              <w:pStyle w:val="TableParagraph"/>
              <w:spacing w:before="2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javnog sektora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3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7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185" w:hRule="atLeast"/>
        </w:trPr>
        <w:tc>
          <w:tcPr>
            <w:tcW w:w="128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523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Predškolski odgoj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-40.000,00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/>
              <w:ind w:right="2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494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4"/>
              <w:rPr>
                <w:sz w:val="14"/>
              </w:rPr>
            </w:pPr>
            <w:r>
              <w:rPr>
                <w:sz w:val="14"/>
              </w:rPr>
              <w:t>494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 izvan</w:t>
            </w:r>
          </w:p>
          <w:p>
            <w:pPr>
              <w:pStyle w:val="TableParagraph"/>
              <w:spacing w:before="3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javnog sektora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8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>
        <w:trPr>
          <w:trHeight w:val="184" w:hRule="atLeast"/>
        </w:trPr>
        <w:tc>
          <w:tcPr>
            <w:tcW w:w="128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3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51"/>
              <w:rPr>
                <w:b/>
                <w:sz w:val="14"/>
              </w:rPr>
            </w:pPr>
            <w:r>
              <w:rPr>
                <w:b/>
                <w:sz w:val="14"/>
              </w:rPr>
              <w:t>236.000,00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236.000,00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>
        <w:trPr>
          <w:trHeight w:val="48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36611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4"/>
              <w:rPr>
                <w:sz w:val="14"/>
              </w:rPr>
            </w:pPr>
            <w:r>
              <w:rPr>
                <w:sz w:val="14"/>
              </w:rPr>
              <w:t>397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/>
              <w:ind w:left="45" w:right="249"/>
              <w:jc w:val="left"/>
              <w:rPr>
                <w:sz w:val="16"/>
              </w:rPr>
            </w:pPr>
            <w:r>
              <w:rPr>
                <w:sz w:val="16"/>
              </w:rPr>
              <w:t>Tekuće pomoći proračunskim korisnicima drugih proračuna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37215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Stipendije i školarine</w:t>
            </w:r>
          </w:p>
          <w:p>
            <w:pPr>
              <w:pStyle w:val="TableParagraph"/>
              <w:spacing w:line="186" w:lineRule="exact" w:before="91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STIPENDIJE I ŠKOLARINE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320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37219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4"/>
              <w:rPr>
                <w:sz w:val="14"/>
              </w:rPr>
            </w:pPr>
            <w:r>
              <w:rPr>
                <w:sz w:val="14"/>
              </w:rPr>
              <w:t>366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Ostale naknade iz proračuna u novcu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31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37221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4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Sufinanciranje cijene prijevoza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491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4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Ostale naknade iz proračuna u naravi</w:t>
            </w:r>
          </w:p>
          <w:p>
            <w:pPr>
              <w:pStyle w:val="TableParagraph"/>
              <w:spacing w:line="183" w:lineRule="exact" w:before="9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PAKETIĆI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31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z w:val="14"/>
              </w:rPr>
              <w:t>335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Ostale naknade iz proračuna u naravi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z w:val="14"/>
              </w:rPr>
              <w:t>348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Ostale naknade iz proračuna u naravi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32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4"/>
              <w:rPr>
                <w:sz w:val="14"/>
              </w:rPr>
            </w:pPr>
            <w:r>
              <w:rPr>
                <w:sz w:val="14"/>
              </w:rPr>
              <w:t>431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Ostale naknade iz proračuna u naravi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429" w:hRule="atLeast"/>
        </w:trPr>
        <w:tc>
          <w:tcPr>
            <w:tcW w:w="128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right="-3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30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UPNO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4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486.000,00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-40.000,00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2058" w:val="left" w:leader="none"/>
              </w:tabs>
              <w:spacing w:before="79"/>
              <w:ind w:left="64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446.000,00</w:t>
              <w:tab/>
              <w:t>91,77%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1910" w:h="16850"/>
          <w:pgMar w:top="1080" w:bottom="280" w:left="120" w:right="477"/>
        </w:sectPr>
      </w:pPr>
    </w:p>
    <w:p>
      <w:pPr>
        <w:pStyle w:val="Heading1"/>
        <w:spacing w:before="76"/>
        <w:ind w:right="4739"/>
      </w:pPr>
      <w:r>
        <w:rPr/>
        <w:t>Članak 3.</w:t>
      </w:r>
    </w:p>
    <w:p>
      <w:pPr>
        <w:pStyle w:val="BodyText"/>
        <w:spacing w:before="160"/>
        <w:ind w:left="1296" w:right="949"/>
        <w:jc w:val="both"/>
      </w:pPr>
      <w:r>
        <w:rPr/>
        <w:t>Financijska sredstva za ostvarivanje javnih potreba iz članka 1. i 2. ovog Programa osigurat će se iz Proračuna Općine Vuka za 2020. godinu ovisno o pritjecanju sredstava u Proračun.</w:t>
      </w:r>
    </w:p>
    <w:p>
      <w:pPr>
        <w:pStyle w:val="BodyText"/>
        <w:spacing w:before="3"/>
        <w:rPr>
          <w:sz w:val="38"/>
        </w:rPr>
      </w:pPr>
    </w:p>
    <w:p>
      <w:pPr>
        <w:pStyle w:val="Heading1"/>
        <w:ind w:right="4739"/>
      </w:pPr>
      <w:r>
        <w:rPr/>
        <w:t>Članak 4.</w:t>
      </w:r>
    </w:p>
    <w:p>
      <w:pPr>
        <w:pStyle w:val="BodyText"/>
        <w:spacing w:before="157"/>
        <w:ind w:left="1376" w:right="927"/>
        <w:jc w:val="both"/>
      </w:pPr>
      <w:r>
        <w:rPr/>
        <w:t>I.Izmjene Programa javnih potreba u predškolskom odgoju i obrazovanja objavit će se u Službenom glasniku Općine Vuka i na web stranicama Općine Vuka </w:t>
      </w:r>
      <w:hyperlink r:id="rId20">
        <w:r>
          <w:rPr/>
          <w:t>www.opcina-vuka.hr, </w:t>
        </w:r>
      </w:hyperlink>
      <w:r>
        <w:rPr/>
        <w:t>a primjenjuju se od 1. siječnja 2020. godine.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920" w:h="16840"/>
          <w:pgMar w:top="1320" w:bottom="280" w:left="120" w:right="480"/>
        </w:sectPr>
      </w:pPr>
    </w:p>
    <w:p>
      <w:pPr>
        <w:pStyle w:val="BodyText"/>
        <w:spacing w:before="90"/>
        <w:ind w:left="1228" w:right="501" w:firstLine="4"/>
      </w:pPr>
      <w:r>
        <w:rPr/>
        <w:t>KLASA: 400-08/20-01/01 URBROJ: 2158/06-02-20-10</w:t>
      </w:r>
    </w:p>
    <w:p>
      <w:pPr>
        <w:pStyle w:val="BodyText"/>
        <w:ind w:left="1300"/>
      </w:pPr>
      <w:r>
        <w:rPr/>
        <w:t>U Vuki, 28. svibnja 2020. godine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/>
        <w:ind w:left="1984" w:right="1506" w:hanging="757"/>
      </w:pPr>
      <w:r>
        <w:rPr/>
        <w:t>Predsjednik općinskog vijeća Stjepan Ribić</w:t>
      </w:r>
    </w:p>
    <w:sectPr>
      <w:type w:val="continuous"/>
      <w:pgSz w:w="11920" w:h="16840"/>
      <w:pgMar w:top="1320" w:bottom="280" w:left="120" w:right="480"/>
      <w:cols w:num="2" w:equalWidth="0">
        <w:col w:w="4543" w:space="1211"/>
        <w:col w:w="55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509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jc w:val="right"/>
    </w:pPr>
    <w:rPr>
      <w:rFonts w:ascii="Tahoma" w:hAnsi="Tahoma" w:eastAsia="Tahoma" w:cs="Tahoma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zakon.hr/cms.htm?id=477" TargetMode="External"/><Relationship Id="rId7" Type="http://schemas.openxmlformats.org/officeDocument/2006/relationships/hyperlink" Target="http://www.zakon.hr/cms.htm?id=478" TargetMode="External"/><Relationship Id="rId8" Type="http://schemas.openxmlformats.org/officeDocument/2006/relationships/hyperlink" Target="http://www.zakon.hr/cms.htm?id=479" TargetMode="External"/><Relationship Id="rId9" Type="http://schemas.openxmlformats.org/officeDocument/2006/relationships/hyperlink" Target="http://www.zakon.hr/cms.htm?id=66" TargetMode="External"/><Relationship Id="rId10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71" TargetMode="External"/><Relationship Id="rId15" Type="http://schemas.openxmlformats.org/officeDocument/2006/relationships/hyperlink" Target="http://www.zakon.hr/cms.htm?id=72" TargetMode="External"/><Relationship Id="rId16" Type="http://schemas.openxmlformats.org/officeDocument/2006/relationships/hyperlink" Target="http://www.zakon.hr/cms.htm?id=73" TargetMode="External"/><Relationship Id="rId17" Type="http://schemas.openxmlformats.org/officeDocument/2006/relationships/hyperlink" Target="http://www.zakon.hr/cms.htm?id=182" TargetMode="External"/><Relationship Id="rId18" Type="http://schemas.openxmlformats.org/officeDocument/2006/relationships/hyperlink" Target="http://www.zakon.hr/cms.htm?id=480" TargetMode="External"/><Relationship Id="rId19" Type="http://schemas.openxmlformats.org/officeDocument/2006/relationships/image" Target="media/image2.jpeg"/><Relationship Id="rId20" Type="http://schemas.openxmlformats.org/officeDocument/2006/relationships/hyperlink" Target="http://www.opcina-vuka.h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2020-06-01T08:02:22Z</dcterms:created>
  <dcterms:modified xsi:type="dcterms:W3CDTF">2020-06-01T08:02:22Z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2020-06-01T00:00:00Z</vt:filetime>
  </property>
</Properties>
</file>